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default"/>
          <w:bCs/>
          <w:sz w:val="36"/>
          <w:szCs w:val="36"/>
          <w:highlight w:val="none"/>
          <w:lang w:val="en-US" w:eastAsia="zh-CN"/>
        </w:rPr>
      </w:pPr>
      <w:r>
        <w:rPr>
          <w:bCs/>
          <w:sz w:val="36"/>
          <w:szCs w:val="36"/>
          <w:highlight w:val="none"/>
        </w:rPr>
        <w:t xml:space="preserve">项目名称：</w:t>
      </w:r>
      <w:bookmarkStart w:id="909" w:name="_GoBack"/>
      <w:r>
        <w:rPr>
          <w:rFonts w:hint="eastAsia"/>
          <w:bCs/>
          <w:sz w:val="36"/>
          <w:szCs w:val="36"/>
          <w:highlight w:val="none"/>
          <w:lang w:eastAsia="zh-CN"/>
        </w:rPr>
        <w:t xml:space="preserve">溧阳市经济开发区（上兴镇）14个行政村环卫作业市场化运作服务项目</w:t>
      </w:r>
      <w:bookmarkEnd w:id="909"/>
      <w:r>
        <w:rPr>
          <w:rFonts w:hint="eastAsia"/>
          <w:bCs/>
          <w:sz w:val="36"/>
          <w:szCs w:val="36"/>
          <w:highlight w:val="none"/>
          <w:lang w:eastAsia="zh-CN"/>
        </w:rPr>
        <w:t xml:space="preserve">（二次）</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项目编号：JSZC-320481-LTZB-G2025-0086</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溧阳市上兴镇人民政府 </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4"/>
          <w:footerReference w:type="first" r:id="rId15"/>
          <w:footnotePr/>
          <w:endnotePr/>
          <w:type w:val="nextColumn"/>
          <w:pgSz w:w="11907" w:h="16840" w:orient="portrait"/>
          <w:pgMar w:top="1418" w:right="1134" w:bottom="1418" w:left="1701" w:header="851" w:footer="851" w:gutter="0"/>
          <w:pgNumType w:start="0"/>
          <w:cols w:num="1" w:sep="0" w:space="720" w:equalWidth="1"/>
          <w:docGrid w:linePitch="360"/>
          <w:titlePg/>
        </w:sectPr>
      </w:pPr>
      <w:r/>
      <w:bookmarkStart w:id="0" w:name="_Toc99301418"/>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77"/>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896"/>
          <w:rFonts w:ascii="Times New Roman" w:hAnsi="Times New Roman"/>
          <w:color w:val="auto"/>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896"/>
          <w:rFonts w:ascii="Times New Roman" w:hAnsi="Times New Roman"/>
          <w:color w:val="auto"/>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896"/>
          <w:rFonts w:ascii="Times New Roman" w:hAnsi="Times New Roman"/>
          <w:color w:val="auto"/>
          <w:highlight w:val="none"/>
        </w:rPr>
        <w:t xml:space="preserve">第三章   资</w:t>
      </w:r>
      <w:bookmarkStart w:id="1" w:name="_Hlt100754117"/>
      <w:r>
        <w:rPr>
          <w:rStyle w:val="896"/>
          <w:rFonts w:ascii="Times New Roman" w:hAnsi="Times New Roman"/>
          <w:color w:val="auto"/>
          <w:highlight w:val="none"/>
        </w:rPr>
        <w:t xml:space="preserve">格</w:t>
      </w:r>
      <w:bookmarkEnd w:id="1"/>
      <w:r>
        <w:rPr>
          <w:rStyle w:val="896"/>
          <w:rFonts w:ascii="Times New Roman" w:hAnsi="Times New Roman"/>
          <w:color w:val="auto"/>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19</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896"/>
          <w:rFonts w:ascii="Times New Roman" w:hAnsi="Times New Roman"/>
          <w:color w:val="auto"/>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896"/>
          <w:rFonts w:ascii="Times New Roman" w:hAnsi="Times New Roman"/>
          <w:color w:val="auto"/>
          <w:highlight w:val="none"/>
        </w:rPr>
        <w:t xml:space="preserve">第五章   采购</w:t>
      </w:r>
      <w:bookmarkStart w:id="2" w:name="_Hlt100754103"/>
      <w:r/>
      <w:bookmarkStart w:id="3" w:name="_Hlt100754102"/>
      <w:r>
        <w:rPr>
          <w:rStyle w:val="896"/>
          <w:rFonts w:ascii="Times New Roman" w:hAnsi="Times New Roman"/>
          <w:color w:val="auto"/>
          <w:highlight w:val="none"/>
        </w:rPr>
        <w:t xml:space="preserve">需</w:t>
      </w:r>
      <w:bookmarkEnd w:id="2"/>
      <w:r/>
      <w:bookmarkEnd w:id="3"/>
      <w:r>
        <w:rPr>
          <w:rStyle w:val="896"/>
          <w:rFonts w:ascii="Times New Roman" w:hAnsi="Times New Roman"/>
          <w:color w:val="auto"/>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31</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896"/>
          <w:rFonts w:ascii="Times New Roman" w:hAnsi="Times New Roman"/>
          <w:color w:val="auto"/>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4</w:t>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896"/>
          <w:rFonts w:ascii="Times New Roman" w:hAnsi="Times New Roman"/>
          <w:color w:val="auto"/>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48</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sectPr>
        <w:outlineLvl w:val="0"/>
      </w:pPr>
      <w:r/>
      <w:bookmarkStart w:id="4" w:name="_Toc99301419"/>
      <w:r/>
      <w:r/>
    </w:p>
    <w:p>
      <w:pPr>
        <w:jc w:val="center"/>
        <w:spacing w:line="360" w:lineRule="auto"/>
        <w:rPr>
          <w:rFonts w:hint="eastAsia"/>
          <w:b/>
          <w:sz w:val="36"/>
          <w:szCs w:val="36"/>
          <w:highlight w:val="none"/>
        </w:rPr>
        <w:outlineLvl w:val="0"/>
      </w:pPr>
      <w:r>
        <w:rPr>
          <w:b/>
          <w:sz w:val="36"/>
          <w:szCs w:val="36"/>
          <w:highlight w:val="none"/>
        </w:rPr>
        <w:t xml:space="preserve">第一章   投标邀请</w:t>
      </w:r>
      <w:bookmarkEnd w:id="4"/>
      <w:r/>
      <w:r/>
    </w:p>
    <w:p>
      <w:pPr>
        <w:pStyle w:val="846"/>
        <w:jc w:val="left"/>
        <w:spacing w:before="0" w:line="360" w:lineRule="auto"/>
        <w:rPr>
          <w:rFonts w:ascii="Times New Roman" w:hAnsi="Times New Roman" w:eastAsia="宋体"/>
          <w:sz w:val="24"/>
          <w:szCs w:val="24"/>
          <w:highlight w:val="none"/>
        </w:rPr>
      </w:pPr>
      <w:r/>
      <w:bookmarkStart w:id="5" w:name="_Toc28359079"/>
      <w:r/>
      <w:bookmarkStart w:id="6" w:name="_Toc35393790"/>
      <w:r/>
      <w:bookmarkStart w:id="7" w:name="_Toc28359002"/>
      <w:r/>
      <w:bookmarkStart w:id="8" w:name="_Toc35393621"/>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firstLine="480"/>
        <w:spacing w:line="360" w:lineRule="auto"/>
        <w:rPr>
          <w:rFonts w:hint="eastAsia" w:eastAsia="宋体"/>
          <w:sz w:val="24"/>
          <w:highlight w:val="none"/>
          <w:lang w:eastAsia="zh-CN"/>
        </w:rPr>
      </w:pPr>
      <w:r>
        <w:rPr>
          <w:sz w:val="24"/>
          <w:highlight w:val="none"/>
        </w:rPr>
        <w:t xml:space="preserve">1.项目编号：JSZC-320481-LTZB-G2025-0086</w:t>
      </w:r>
      <w:r/>
    </w:p>
    <w:p>
      <w:pPr>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u w:val="single"/>
          <w:lang w:eastAsia="zh-CN"/>
        </w:rPr>
        <w:t xml:space="preserve">溧阳市经济开发区（上兴镇）14个行政村环卫作业市场化运作服务项目（二次）</w:t>
      </w:r>
      <w:bookmarkEnd w:id="9"/>
      <w:r/>
    </w:p>
    <w:p>
      <w:pPr>
        <w:ind w:firstLine="480"/>
        <w:spacing w:line="360" w:lineRule="auto"/>
        <w:rPr>
          <w:rFonts w:hint="eastAsia"/>
          <w:sz w:val="24"/>
          <w:highlight w:val="none"/>
          <w:u w:val="single"/>
          <w:lang w:val="en-US" w:eastAsia="zh-CN"/>
        </w:rPr>
      </w:pPr>
      <w:r>
        <w:rPr>
          <w:sz w:val="24"/>
          <w:highlight w:val="none"/>
        </w:rPr>
        <w:t xml:space="preserve">3.项目预算金额</w:t>
      </w:r>
      <w:r>
        <w:rPr>
          <w:rFonts w:hint="eastAsia"/>
          <w:sz w:val="24"/>
          <w:highlight w:val="none"/>
          <w:lang w:eastAsia="zh-CN"/>
        </w:rPr>
        <w:t xml:space="preserve">：</w:t>
      </w:r>
      <w:r>
        <w:rPr>
          <w:rFonts w:ascii="Times New Roman" w:hAnsi="Times New Roman" w:eastAsia="Times New Roman" w:cs="Times New Roman"/>
          <w:color w:val="000000"/>
          <w:sz w:val="24"/>
          <w:u w:val="single"/>
        </w:rPr>
        <w:t xml:space="preserve">657.103000</w:t>
      </w:r>
      <w:r>
        <w:rPr>
          <w:rFonts w:ascii="SimSun" w:hAnsi="SimSun" w:eastAsia="SimSun" w:cs="SimSun"/>
          <w:color w:val="000000"/>
          <w:sz w:val="24"/>
          <w:u w:val="single"/>
        </w:rPr>
        <w:t xml:space="preserve">万元（采购包</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258.647000</w:t>
      </w:r>
      <w:r>
        <w:rPr>
          <w:rFonts w:ascii="SimSun" w:hAnsi="SimSun" w:eastAsia="SimSun" w:cs="SimSun"/>
          <w:color w:val="000000"/>
          <w:sz w:val="24"/>
          <w:u w:val="single"/>
        </w:rPr>
        <w:t xml:space="preserve">万元；采购包</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186.336000</w:t>
      </w:r>
      <w:r>
        <w:rPr>
          <w:rFonts w:ascii="SimSun" w:hAnsi="SimSun" w:eastAsia="SimSun" w:cs="SimSun"/>
          <w:color w:val="000000"/>
          <w:sz w:val="24"/>
          <w:u w:val="single"/>
        </w:rPr>
        <w:t xml:space="preserve">万元；采购包</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212.120000</w:t>
      </w:r>
      <w:r>
        <w:rPr>
          <w:rFonts w:ascii="SimSun" w:hAnsi="SimSun" w:eastAsia="SimSun" w:cs="SimSun"/>
          <w:color w:val="000000"/>
          <w:sz w:val="24"/>
          <w:u w:val="single"/>
        </w:rPr>
        <w:t xml:space="preserve">万元）</w:t>
      </w:r>
      <w:r>
        <w:rPr>
          <w:rFonts w:hint="eastAsia"/>
          <w:sz w:val="24"/>
          <w:highlight w:val="none"/>
          <w:lang w:eastAsia="zh-CN"/>
        </w:rPr>
      </w:r>
      <w:r>
        <w:rPr>
          <w:rFonts w:hint="eastAsia"/>
          <w:sz w:val="24"/>
          <w:highlight w:val="none"/>
          <w:u w:val="single"/>
          <w:lang w:val="en-US" w:eastAsia="zh-CN"/>
        </w:rPr>
      </w:r>
      <w:r/>
    </w:p>
    <w:p>
      <w:pPr>
        <w:ind w:firstLine="720"/>
        <w:spacing w:line="360" w:lineRule="auto"/>
        <w:rPr>
          <w:rFonts w:hint="eastAsia"/>
          <w:sz w:val="24"/>
          <w:highlight w:val="none"/>
          <w:u w:val="single"/>
          <w:lang w:val="en-US" w:eastAsia="zh-CN"/>
        </w:rPr>
      </w:pPr>
      <w:r>
        <w:rPr>
          <w:rFonts w:hint="eastAsia"/>
          <w:sz w:val="24"/>
          <w:highlight w:val="none"/>
          <w:u w:val="single"/>
          <w:lang w:val="en-US" w:eastAsia="zh-CN"/>
        </w:rPr>
        <w:t xml:space="preserve">项目最高限价：</w:t>
      </w:r>
      <w:r>
        <w:rPr>
          <w:rFonts w:ascii="Times New Roman" w:hAnsi="Times New Roman" w:eastAsia="Times New Roman" w:cs="Times New Roman"/>
          <w:color w:val="000000"/>
          <w:sz w:val="24"/>
          <w:u w:val="single"/>
        </w:rPr>
        <w:t xml:space="preserve">657.103000</w:t>
      </w:r>
      <w:r>
        <w:rPr>
          <w:rFonts w:ascii="SimSun" w:hAnsi="SimSun" w:eastAsia="SimSun" w:cs="SimSun"/>
          <w:color w:val="000000"/>
          <w:sz w:val="24"/>
          <w:u w:val="single"/>
        </w:rPr>
        <w:t xml:space="preserve">万元（采购包</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258.647000</w:t>
      </w:r>
      <w:r>
        <w:rPr>
          <w:rFonts w:ascii="SimSun" w:hAnsi="SimSun" w:eastAsia="SimSun" w:cs="SimSun"/>
          <w:color w:val="000000"/>
          <w:sz w:val="24"/>
          <w:u w:val="single"/>
        </w:rPr>
        <w:t xml:space="preserve">万元；采购包</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186.336000</w:t>
      </w:r>
      <w:r>
        <w:rPr>
          <w:rFonts w:ascii="SimSun" w:hAnsi="SimSun" w:eastAsia="SimSun" w:cs="SimSun"/>
          <w:color w:val="000000"/>
          <w:sz w:val="24"/>
          <w:u w:val="single"/>
        </w:rPr>
        <w:t xml:space="preserve">万元；采购包</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212.120000</w:t>
      </w:r>
      <w:r>
        <w:rPr>
          <w:rFonts w:ascii="SimSun" w:hAnsi="SimSun" w:eastAsia="SimSun" w:cs="SimSun"/>
          <w:color w:val="000000"/>
          <w:sz w:val="24"/>
          <w:u w:val="single"/>
        </w:rPr>
        <w:t xml:space="preserve">万元）</w:t>
      </w:r>
      <w:r>
        <w:rPr>
          <w:rFonts w:hint="eastAsia"/>
          <w:sz w:val="24"/>
          <w:highlight w:val="none"/>
          <w:u w:val="single"/>
          <w:lang w:val="en-US" w:eastAsia="zh-CN"/>
        </w:rPr>
      </w:r>
      <w:r/>
    </w:p>
    <w:p>
      <w:pPr>
        <w:ind w:firstLine="480"/>
        <w:spacing w:line="360" w:lineRule="auto"/>
        <w:rPr>
          <w:sz w:val="24"/>
          <w:highlight w:val="none"/>
        </w:rPr>
      </w:pPr>
      <w:r>
        <w:rPr>
          <w:sz w:val="24"/>
          <w:highlight w:val="none"/>
        </w:rPr>
        <w:t xml:space="preserve">4.采购需求：</w:t>
      </w:r>
      <w:r/>
    </w:p>
    <w:tbl>
      <w:tblPr>
        <w:tblStyle w:val="85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3038"/>
        <w:gridCol w:w="1710"/>
        <w:gridCol w:w="930"/>
        <w:gridCol w:w="2888"/>
      </w:tblGrid>
      <w:tr>
        <w:trPr>
          <w:trHeight w:val="549"/>
        </w:trPr>
        <w:tc>
          <w:tcPr>
            <w:tcW w:w="385"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包号</w:t>
            </w:r>
            <w:r/>
          </w:p>
        </w:tc>
        <w:tc>
          <w:tcPr>
            <w:tcW w:w="1636"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标的名称</w:t>
            </w:r>
            <w:r/>
          </w:p>
        </w:tc>
        <w:tc>
          <w:tcPr>
            <w:tcW w:w="92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采购包预算金额（元</w:t>
            </w: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年</w:t>
            </w:r>
            <w:r>
              <w:rPr>
                <w:rFonts w:hint="eastAsia" w:ascii="宋体" w:hAnsi="宋体" w:eastAsia="宋体" w:cs="宋体"/>
                <w:bCs/>
                <w:sz w:val="24"/>
                <w:szCs w:val="24"/>
                <w:highlight w:val="none"/>
              </w:rPr>
              <w:t xml:space="preserve">）</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p>
        </w:tc>
        <w:tc>
          <w:tcPr>
            <w:tcW w:w="1555"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简要技术需求或服务要求</w:t>
            </w:r>
            <w:r/>
          </w:p>
        </w:tc>
      </w:tr>
      <w:tr>
        <w:trPr>
          <w:trHeight w:val="957"/>
        </w:trPr>
        <w:tc>
          <w:tcPr>
            <w:tcW w:w="385"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01</w:t>
            </w:r>
            <w:r/>
          </w:p>
        </w:tc>
        <w:tc>
          <w:tcPr>
            <w:tcW w:w="1636" w:type="pct"/>
            <w:vAlign w:val="center"/>
            <w:textDirection w:val="lrTb"/>
            <w:noWrap w:val="false"/>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余巷-陶村-涧东-永和-步村</w:t>
            </w:r>
            <w:r/>
          </w:p>
        </w:tc>
        <w:tc>
          <w:tcPr>
            <w:tcW w:w="921"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SA"/>
              </w:rPr>
              <w:suppressLineNumbers w:val="0"/>
            </w:pPr>
            <w:r>
              <w:rPr>
                <w:rFonts w:hint="eastAsia" w:ascii="宋体" w:hAnsi="宋体" w:cs="宋体"/>
                <w:sz w:val="24"/>
                <w:szCs w:val="24"/>
                <w:lang w:val="en-US" w:eastAsia="zh-CN"/>
              </w:rPr>
              <w:t xml:space="preserve">2586470</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1项</w:t>
            </w:r>
            <w:r/>
          </w:p>
        </w:tc>
        <w:tc>
          <w:tcPr>
            <w:tcW w:w="1555" w:type="pct"/>
            <w:vAlign w:val="center"/>
            <w:vMerge w:val="restart"/>
            <w:textDirection w:val="lrTb"/>
            <w:noWrap w:val="false"/>
          </w:tcPr>
          <w:p>
            <w:pPr>
              <w:jc w:val="center"/>
              <w:spacing w:line="24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溧阳市经济开发区（上兴镇）14个行政村的道路清扫保洁、垃圾短驳收集清运；农村生活垃圾、农村厕所粪污、农村生活污水、农业废弃物治理和提升村容村貌、提升建设和管护水平等工作实行一体化市场服务管理。</w:t>
            </w:r>
            <w:r/>
          </w:p>
        </w:tc>
      </w:tr>
      <w:tr>
        <w:trPr>
          <w:trHeight w:val="867"/>
        </w:trPr>
        <w:tc>
          <w:tcPr>
            <w:tcW w:w="385" w:type="pct"/>
            <w:vAlign w:val="center"/>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02</w:t>
            </w:r>
            <w:r/>
          </w:p>
        </w:tc>
        <w:tc>
          <w:tcPr>
            <w:tcW w:w="1636" w:type="pct"/>
            <w:vAlign w:val="center"/>
            <w:textDirection w:val="lrTb"/>
            <w:noWrap w:val="false"/>
          </w:tcPr>
          <w:p>
            <w:pPr>
              <w:jc w:val="center"/>
              <w:keepLines w:val="0"/>
              <w:keepNext w:val="0"/>
              <w:widowControl/>
              <w:rPr>
                <w:rFonts w:hint="eastAsia" w:ascii="宋体" w:hAnsi="宋体" w:eastAsia="宋体" w:cs="宋体"/>
                <w:bCs/>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上兴-老河-练庄-赵沛</w:t>
            </w:r>
            <w:r/>
          </w:p>
        </w:tc>
        <w:tc>
          <w:tcPr>
            <w:tcW w:w="921" w:type="pct"/>
            <w:vAlign w:val="center"/>
            <w:textDirection w:val="lrTb"/>
            <w:noWrap w:val="false"/>
          </w:tcPr>
          <w:p>
            <w:pPr>
              <w:jc w:val="center"/>
              <w:keepLines w:val="0"/>
              <w:keepNext w:val="0"/>
              <w:widowControl/>
              <w:tabs>
                <w:tab w:val="center" w:pos="877" w:leader="none"/>
                <w:tab w:val="right" w:pos="1635" w:leader="none"/>
              </w:tabs>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1863360</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1项</w:t>
            </w:r>
            <w:r/>
          </w:p>
        </w:tc>
        <w:tc>
          <w:tcPr>
            <w:tcW w:w="1555" w:type="pct"/>
            <w:vAlign w:val="center"/>
            <w:vMerge w:val="continue"/>
            <w:textDirection w:val="lrTb"/>
            <w:noWrap w:val="false"/>
          </w:tcPr>
          <w:p>
            <w:pPr>
              <w:jc w:val="both"/>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r>
        <w:trPr>
          <w:trHeight w:val="548"/>
        </w:trPr>
        <w:tc>
          <w:tcPr>
            <w:tcW w:w="385" w:type="pct"/>
            <w:vAlign w:val="center"/>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03</w:t>
            </w:r>
            <w:r/>
          </w:p>
        </w:tc>
        <w:tc>
          <w:tcPr>
            <w:tcW w:w="1636" w:type="pct"/>
            <w:vAlign w:val="center"/>
            <w:textDirection w:val="lrTb"/>
            <w:noWrap w:val="false"/>
          </w:tcPr>
          <w:p>
            <w:pPr>
              <w:jc w:val="center"/>
              <w:keepLines w:val="0"/>
              <w:keepNext w:val="0"/>
              <w:widowControl/>
              <w:rPr>
                <w:rFonts w:hint="eastAsia" w:ascii="宋体" w:hAnsi="宋体" w:eastAsia="宋体" w:cs="宋体"/>
                <w:bCs/>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SA"/>
              </w:rPr>
              <w:t xml:space="preserve">东塘-缪巷-祠堂-桥东干-毛家</w:t>
            </w:r>
            <w:r/>
          </w:p>
        </w:tc>
        <w:tc>
          <w:tcPr>
            <w:tcW w:w="921" w:type="pct"/>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2121200</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1项</w:t>
            </w:r>
            <w:r/>
          </w:p>
        </w:tc>
        <w:tc>
          <w:tcPr>
            <w:tcW w:w="1555" w:type="pct"/>
            <w:vAlign w:val="center"/>
            <w:vMerge w:val="continue"/>
            <w:textDirection w:val="lrTb"/>
            <w:noWrap w:val="false"/>
          </w:tcPr>
          <w:p>
            <w:pPr>
              <w:jc w:val="both"/>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r>
        <w:trPr>
          <w:trHeight w:val="548"/>
        </w:trPr>
        <w:tc>
          <w:tcPr>
            <w:gridSpan w:val="2"/>
            <w:tcW w:w="202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合计</w:t>
            </w:r>
            <w:r/>
          </w:p>
        </w:tc>
        <w:tc>
          <w:tcPr>
            <w:tcW w:w="921" w:type="pct"/>
            <w:vAlign w:val="center"/>
            <w:textDirection w:val="lrTb"/>
            <w:noWrap w:val="false"/>
          </w:tcPr>
          <w:p>
            <w:pPr>
              <w:jc w:val="center"/>
              <w:rPr>
                <w:rFonts w:hint="default" w:ascii="宋体" w:hAnsi="宋体" w:eastAsia="宋体" w:cs="宋体"/>
                <w:sz w:val="24"/>
                <w:szCs w:val="24"/>
                <w:highlight w:val="none"/>
                <w:u w:val="none"/>
                <w:lang w:val="en-US" w:eastAsia="zh-CN"/>
              </w:rPr>
            </w:pPr>
            <w:r>
              <w:rPr>
                <w:rFonts w:hint="eastAsia" w:ascii="宋体" w:hAnsi="宋体" w:cs="宋体"/>
                <w:sz w:val="24"/>
                <w:szCs w:val="24"/>
                <w:highlight w:val="none"/>
                <w:u w:val="none"/>
                <w:lang w:val="en-US" w:eastAsia="zh-CN"/>
              </w:rPr>
              <w:t xml:space="preserve">6571030</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555" w:type="pct"/>
            <w:vAlign w:val="center"/>
            <w:textDirection w:val="lrTb"/>
            <w:noWrap w:val="false"/>
          </w:tcPr>
          <w:p>
            <w:pPr>
              <w:jc w:val="both"/>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bl>
    <w:p>
      <w:pPr>
        <w:contextualSpacing/>
        <w:ind w:firstLine="480"/>
        <w:spacing w:line="360" w:lineRule="auto"/>
        <w:shd w:val="clear" w:color="auto" w:fill="auto"/>
        <w:rPr>
          <w:rFonts w:hint="eastAsia"/>
          <w:sz w:val="24"/>
          <w:highlight w:val="none"/>
          <w:lang w:val="en-US" w:eastAsia="zh-CN"/>
        </w:rPr>
      </w:pPr>
      <w:r>
        <w:rPr>
          <w:rFonts w:hint="eastAsia"/>
          <w:sz w:val="24"/>
          <w:highlight w:val="none"/>
        </w:rPr>
        <w:t xml:space="preserve">本项目共分</w:t>
      </w:r>
      <w:r>
        <w:rPr>
          <w:rFonts w:hint="eastAsia"/>
          <w:sz w:val="24"/>
          <w:highlight w:val="none"/>
          <w:lang w:val="en-US" w:eastAsia="zh-CN"/>
        </w:rPr>
        <w:t xml:space="preserve">3</w:t>
      </w:r>
      <w:r>
        <w:rPr>
          <w:rFonts w:hint="eastAsia"/>
          <w:sz w:val="24"/>
          <w:highlight w:val="none"/>
        </w:rPr>
        <w:t xml:space="preserve">个</w:t>
      </w:r>
      <w:r>
        <w:rPr>
          <w:rFonts w:hint="eastAsia"/>
          <w:sz w:val="24"/>
          <w:highlight w:val="none"/>
          <w:lang w:eastAsia="zh-CN"/>
        </w:rPr>
        <w:t xml:space="preserve">标包</w:t>
      </w:r>
      <w:r>
        <w:rPr>
          <w:rFonts w:hint="eastAsia"/>
          <w:sz w:val="24"/>
          <w:highlight w:val="none"/>
        </w:rPr>
        <w:t xml:space="preserve">，供应商可对本次采购的单个</w:t>
      </w:r>
      <w:r>
        <w:rPr>
          <w:rFonts w:hint="eastAsia"/>
          <w:sz w:val="24"/>
          <w:highlight w:val="none"/>
          <w:lang w:eastAsia="zh-CN"/>
        </w:rPr>
        <w:t xml:space="preserve">标包</w:t>
      </w:r>
      <w:r>
        <w:rPr>
          <w:rFonts w:hint="eastAsia"/>
          <w:sz w:val="24"/>
          <w:highlight w:val="none"/>
        </w:rPr>
        <w:t xml:space="preserve">或全部</w:t>
      </w:r>
      <w:r>
        <w:rPr>
          <w:rFonts w:hint="eastAsia"/>
          <w:sz w:val="24"/>
          <w:highlight w:val="none"/>
          <w:lang w:eastAsia="zh-CN"/>
        </w:rPr>
        <w:t xml:space="preserve">标包</w:t>
      </w:r>
      <w:r>
        <w:rPr>
          <w:rFonts w:hint="eastAsia"/>
          <w:sz w:val="24"/>
          <w:highlight w:val="none"/>
        </w:rPr>
        <w:t xml:space="preserve">进行响应，在投标文件中注明所投</w:t>
      </w:r>
      <w:r>
        <w:rPr>
          <w:rFonts w:hint="eastAsia"/>
          <w:sz w:val="24"/>
          <w:highlight w:val="none"/>
          <w:lang w:eastAsia="zh-CN"/>
        </w:rPr>
        <w:t xml:space="preserve">标包</w:t>
      </w:r>
      <w:r>
        <w:rPr>
          <w:rFonts w:hint="eastAsia"/>
          <w:sz w:val="24"/>
          <w:highlight w:val="none"/>
        </w:rPr>
        <w:t xml:space="preserve">并响应该</w:t>
      </w:r>
      <w:r>
        <w:rPr>
          <w:rFonts w:hint="eastAsia"/>
          <w:sz w:val="24"/>
          <w:highlight w:val="none"/>
          <w:lang w:eastAsia="zh-CN"/>
        </w:rPr>
        <w:t xml:space="preserve">标包</w:t>
      </w:r>
      <w:r>
        <w:rPr>
          <w:rFonts w:hint="eastAsia"/>
          <w:sz w:val="24"/>
          <w:highlight w:val="none"/>
        </w:rPr>
        <w:t xml:space="preserve">全部内容。</w:t>
      </w:r>
      <w:r>
        <w:rPr>
          <w:rFonts w:hint="eastAsia" w:ascii="Times New Roman" w:hAnsi="Times New Roman" w:eastAsia="宋体" w:cs="Times New Roman"/>
          <w:color w:val="auto"/>
          <w:sz w:val="24"/>
          <w:highlight w:val="none"/>
          <w:lang w:val="en-US" w:eastAsia="zh-CN"/>
        </w:rPr>
        <w:t xml:space="preserve">采取兼投不兼中原则，评标顺序为01包、02包、03包，在</w:t>
      </w:r>
      <w:r>
        <w:rPr>
          <w:rFonts w:hint="eastAsia" w:eastAsia="宋体" w:cs="Times New Roman"/>
          <w:color w:val="auto"/>
          <w:sz w:val="24"/>
          <w:highlight w:val="none"/>
          <w:lang w:val="en-US" w:eastAsia="zh-CN"/>
        </w:rPr>
        <w:t xml:space="preserve">01包</w:t>
      </w:r>
      <w:r>
        <w:rPr>
          <w:rFonts w:hint="eastAsia" w:ascii="Times New Roman" w:hAnsi="Times New Roman" w:eastAsia="宋体" w:cs="Times New Roman"/>
          <w:color w:val="auto"/>
          <w:sz w:val="24"/>
          <w:highlight w:val="none"/>
          <w:lang w:val="en-US" w:eastAsia="zh-CN"/>
        </w:rPr>
        <w:t xml:space="preserve">中</w:t>
      </w:r>
      <w:r>
        <w:rPr>
          <w:rFonts w:hint="eastAsia" w:cs="Times New Roman"/>
          <w:color w:val="auto"/>
          <w:sz w:val="24"/>
          <w:highlight w:val="none"/>
          <w:lang w:val="en-US" w:eastAsia="zh-CN"/>
        </w:rPr>
        <w:t xml:space="preserve">推荐的中标候选人</w:t>
      </w:r>
      <w:r>
        <w:rPr>
          <w:rFonts w:hint="eastAsia" w:ascii="Times New Roman" w:hAnsi="Times New Roman" w:eastAsia="宋体" w:cs="Times New Roman"/>
          <w:color w:val="auto"/>
          <w:sz w:val="24"/>
          <w:highlight w:val="none"/>
          <w:lang w:val="en-US" w:eastAsia="zh-CN"/>
        </w:rPr>
        <w:t xml:space="preserve">不得成为</w:t>
      </w:r>
      <w:r>
        <w:rPr>
          <w:rFonts w:hint="eastAsia" w:eastAsia="宋体" w:cs="Times New Roman"/>
          <w:color w:val="auto"/>
          <w:sz w:val="24"/>
          <w:highlight w:val="none"/>
          <w:lang w:val="en-US" w:eastAsia="zh-CN"/>
        </w:rPr>
        <w:t xml:space="preserve">02包、03包</w:t>
      </w:r>
      <w:r>
        <w:rPr>
          <w:rFonts w:hint="eastAsia" w:ascii="Times New Roman" w:hAnsi="Times New Roman" w:eastAsia="宋体" w:cs="Times New Roman"/>
          <w:color w:val="auto"/>
          <w:sz w:val="24"/>
          <w:highlight w:val="none"/>
          <w:lang w:val="en-US" w:eastAsia="zh-CN"/>
        </w:rPr>
        <w:t xml:space="preserve">推荐</w:t>
      </w:r>
      <w:r>
        <w:rPr>
          <w:rFonts w:hint="eastAsia" w:eastAsia="宋体" w:cs="Times New Roman"/>
          <w:color w:val="auto"/>
          <w:sz w:val="24"/>
          <w:highlight w:val="none"/>
          <w:lang w:val="en-US" w:eastAsia="zh-CN"/>
        </w:rPr>
        <w:t xml:space="preserve">的</w:t>
      </w:r>
      <w:r>
        <w:rPr>
          <w:rFonts w:hint="eastAsia" w:cs="Times New Roman"/>
          <w:color w:val="auto"/>
          <w:sz w:val="24"/>
          <w:highlight w:val="none"/>
          <w:lang w:val="en-US" w:eastAsia="zh-CN"/>
        </w:rPr>
        <w:t xml:space="preserve">中标候选人，以此类推</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宋体" w:hAnsi="宋体" w:cs="宋体"/>
          <w:sz w:val="24"/>
          <w:highlight w:val="yellow"/>
          <w:u w:val="single"/>
          <w:lang w:val="en-US" w:eastAsia="zh-CN"/>
        </w:rPr>
      </w:pPr>
      <w:r>
        <w:rPr>
          <w:sz w:val="24"/>
          <w:highlight w:val="none"/>
        </w:rPr>
        <w:t xml:space="preserve">5.</w:t>
      </w:r>
      <w:r>
        <w:rPr>
          <w:rFonts w:hint="eastAsia"/>
          <w:sz w:val="24"/>
          <w:highlight w:val="none"/>
          <w:lang w:eastAsia="zh-CN"/>
        </w:rPr>
        <w:t xml:space="preserve">服务期：</w:t>
      </w:r>
      <w:r>
        <w:rPr>
          <w:rFonts w:hint="eastAsia" w:ascii="宋体" w:hAnsi="宋体" w:cs="宋体"/>
          <w:sz w:val="24"/>
          <w:highlight w:val="none"/>
          <w:u w:val="single"/>
          <w:lang w:val="en-US" w:eastAsia="zh-CN"/>
        </w:rPr>
        <w:t xml:space="preserve">2年。其中前2个月为试用作业服务期；试用作业服务期满且考核不低于85分的，双方签订合同；年度考核不低于95分的，双方可续签一次合同。</w:t>
      </w:r>
      <w:r/>
    </w:p>
    <w:p>
      <w:pPr>
        <w:ind w:firstLine="480"/>
        <w:spacing w:line="360" w:lineRule="auto"/>
        <w:rPr>
          <w:sz w:val="24"/>
          <w:highlight w:val="none"/>
        </w:rPr>
      </w:pPr>
      <w:r>
        <w:rPr>
          <w:sz w:val="24"/>
          <w:highlight w:val="none"/>
        </w:rPr>
        <w:t xml:space="preserve">6.本项目是否接受联合体投标：□是  </w:t>
      </w:r>
      <w:r>
        <w:rPr>
          <w:rFonts w:hint="eastAsia"/>
          <w:sz w:val="24"/>
          <w:highlight w:val="none"/>
          <w:lang w:eastAsia="zh-CN"/>
        </w:rPr>
        <w:t xml:space="preserve">☑</w:t>
      </w:r>
      <w:r>
        <w:rPr>
          <w:sz w:val="24"/>
          <w:highlight w:val="none"/>
        </w:rPr>
        <w:t xml:space="preserve">否。</w:t>
      </w:r>
      <w:r/>
    </w:p>
    <w:p>
      <w:pPr>
        <w:ind w:firstLine="480"/>
        <w:spacing w:line="360" w:lineRule="auto"/>
        <w:rPr>
          <w:sz w:val="24"/>
          <w:highlight w:val="none"/>
        </w:rPr>
      </w:pPr>
      <w:r>
        <w:rPr>
          <w:rFonts w:hint="eastAsia"/>
          <w:sz w:val="24"/>
          <w:highlight w:val="none"/>
        </w:rPr>
        <w:t xml:space="preserve">7.</w:t>
      </w:r>
      <w:r>
        <w:rPr>
          <w:sz w:val="24"/>
          <w:highlight w:val="none"/>
        </w:rPr>
        <w:t xml:space="preserve">本项目是否接受</w:t>
      </w:r>
      <w:r>
        <w:rPr>
          <w:rFonts w:hint="eastAsia"/>
          <w:sz w:val="24"/>
          <w:highlight w:val="none"/>
        </w:rPr>
        <w:t xml:space="preserve">进口产品</w:t>
      </w:r>
      <w:r>
        <w:rPr>
          <w:sz w:val="24"/>
          <w:highlight w:val="none"/>
        </w:rPr>
        <w:t xml:space="preserve">投标：□是  </w:t>
      </w:r>
      <w:r>
        <w:rPr>
          <w:rFonts w:hint="eastAsia"/>
          <w:sz w:val="24"/>
          <w:highlight w:val="none"/>
          <w:lang w:eastAsia="zh-CN"/>
        </w:rPr>
        <w:t xml:space="preserve">☑</w:t>
      </w:r>
      <w:r>
        <w:rPr>
          <w:sz w:val="24"/>
          <w:highlight w:val="none"/>
        </w:rPr>
        <w:t xml:space="preserve">否。</w:t>
      </w:r>
      <w:r/>
    </w:p>
    <w:p>
      <w:pPr>
        <w:pStyle w:val="846"/>
        <w:jc w:val="left"/>
        <w:spacing w:before="0" w:line="360" w:lineRule="auto"/>
        <w:rPr>
          <w:rFonts w:ascii="Times New Roman" w:hAnsi="Times New Roman" w:eastAsia="宋体"/>
          <w:sz w:val="24"/>
          <w:szCs w:val="24"/>
          <w:highlight w:val="none"/>
        </w:rPr>
      </w:pPr>
      <w:r/>
      <w:bookmarkStart w:id="10" w:name="_Toc28359003"/>
      <w:r/>
      <w:bookmarkStart w:id="11" w:name="_Toc35393791"/>
      <w:r/>
      <w:bookmarkStart w:id="12" w:name="_Toc35393622"/>
      <w:r/>
      <w:bookmarkStart w:id="13" w:name="_Toc28359080"/>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4" w:name="_Toc28359004"/>
      <w:r/>
      <w:bookmarkStart w:id="15" w:name="_Toc28359081"/>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sz w:val="24"/>
          <w:highlight w:val="none"/>
        </w:rPr>
      </w:pPr>
      <w:r>
        <w:rPr>
          <w:rFonts w:hint="eastAsia"/>
          <w:sz w:val="24"/>
          <w:highlight w:val="none"/>
          <w:lang w:eastAsia="zh-CN"/>
        </w:rPr>
        <w:t xml:space="preserve">□</w:t>
      </w:r>
      <w:r>
        <w:rPr>
          <w:sz w:val="24"/>
          <w:highlight w:val="none"/>
        </w:rPr>
        <w:t xml:space="preserve">本项目不专门面向中小企业预留采购份额。</w:t>
      </w:r>
      <w:r/>
    </w:p>
    <w:p>
      <w:pPr>
        <w:ind w:firstLine="480"/>
        <w:spacing w:line="360" w:lineRule="auto"/>
        <w:rPr>
          <w:sz w:val="24"/>
          <w:highlight w:val="none"/>
        </w:rPr>
      </w:pPr>
      <w:r>
        <w:rPr>
          <w:rFonts w:ascii="Wingdings 2" w:hAnsi="Wingdings 2" w:eastAsia="Wingdings 2" w:cs="Wingdings 2"/>
          <w:sz w:val="24"/>
          <w:highlight w:val="none"/>
        </w:rPr>
        <w:t xml:space="preserve">R</w:t>
      </w:r>
      <w:r>
        <w:rPr>
          <w:sz w:val="24"/>
          <w:highlight w:val="none"/>
        </w:rPr>
        <w:t xml:space="preserve">本项目专门面向  </w:t>
      </w:r>
      <w:r>
        <w:rPr>
          <w:rFonts w:ascii="Wingdings 2" w:hAnsi="Wingdings 2" w:eastAsia="Wingdings 2" w:cs="Wingdings 2"/>
          <w:sz w:val="24"/>
          <w:highlight w:val="none"/>
        </w:rPr>
        <w:t xml:space="preserve">R</w:t>
      </w:r>
      <w:r>
        <w:rPr>
          <w:sz w:val="24"/>
          <w:highlight w:val="none"/>
        </w:rPr>
        <w:t xml:space="preserve">中小 </w:t>
      </w:r>
      <w:r>
        <w:rPr>
          <w:rFonts w:ascii="Wingdings 2" w:hAnsi="Wingdings 2" w:eastAsia="Wingdings 2" w:cs="Wingdings 2"/>
          <w:sz w:val="24"/>
          <w:highlight w:val="none"/>
        </w:rPr>
        <w:t xml:space="preserve">R</w:t>
      </w:r>
      <w:r>
        <w:rPr>
          <w:sz w:val="24"/>
          <w:highlight w:val="none"/>
        </w:rPr>
        <w:t xml:space="preserve">小微企业  采购。即：提供的货物全部由符合政策要求的中小/小微企业制造、服务全部由符合政策要求的中小/小微企业承接。</w:t>
      </w:r>
      <w:r/>
    </w:p>
    <w:p>
      <w:pPr>
        <w:ind w:firstLine="480"/>
        <w:spacing w:line="360" w:lineRule="auto"/>
        <w:rPr>
          <w:sz w:val="24"/>
          <w:highlight w:val="none"/>
        </w:rPr>
      </w:pP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 xml:space="preserve">。</w:t>
      </w:r>
      <w:r/>
    </w:p>
    <w:p>
      <w:pPr>
        <w:ind w:firstLine="480"/>
        <w:spacing w:line="360" w:lineRule="auto"/>
        <w:rPr>
          <w:sz w:val="24"/>
          <w:highlight w:val="none"/>
        </w:rPr>
      </w:pPr>
      <w:r>
        <w:rPr>
          <w:sz w:val="24"/>
          <w:highlight w:val="none"/>
        </w:rPr>
        <w:t xml:space="preserve">2.2 </w:t>
      </w:r>
      <w:r>
        <w:rPr>
          <w:rFonts w:hint="eastAsia"/>
          <w:sz w:val="24"/>
          <w:highlight w:val="none"/>
        </w:rPr>
        <w:t xml:space="preserve">其他</w:t>
      </w:r>
      <w:r>
        <w:rPr>
          <w:sz w:val="24"/>
          <w:highlight w:val="none"/>
        </w:rPr>
        <w:t xml:space="preserve">落实政府采购政策的资格要求（如有）：</w:t>
      </w:r>
      <w:r>
        <w:rPr>
          <w:rFonts w:hint="eastAsia"/>
          <w:sz w:val="24"/>
          <w:highlight w:val="none"/>
          <w:u w:val="single"/>
        </w:rPr>
        <w:t xml:space="preserve">     /     </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3.1本项目是否接受分支机构参与投标：□是   </w:t>
      </w:r>
      <w:r>
        <w:rPr>
          <w:rFonts w:hint="eastAsia"/>
          <w:sz w:val="24"/>
          <w:highlight w:val="none"/>
          <w:lang w:eastAsia="zh-CN"/>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ascii="Wingdings 2" w:hAnsi="Wingdings 2" w:eastAsia="Wingdings 2" w:cs="Wingdings 2"/>
          <w:sz w:val="24"/>
          <w:highlight w:val="none"/>
        </w:rPr>
        <w:t xml:space="preserve">£</w:t>
      </w:r>
      <w:r>
        <w:rPr>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lang w:eastAsia="zh-CN"/>
        </w:rPr>
        <w:t xml:space="preserve">☑</w:t>
      </w:r>
      <w:r>
        <w:rPr>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eastAsia="宋体"/>
          <w:b/>
          <w:bCs/>
          <w:color w:val="auto"/>
          <w:sz w:val="24"/>
          <w:highlight w:val="none"/>
          <w:lang w:val="en-US" w:eastAsia="zh-CN"/>
        </w:rPr>
      </w:pPr>
      <w:r>
        <w:rPr>
          <w:sz w:val="24"/>
          <w:highlight w:val="none"/>
        </w:rPr>
        <w:t xml:space="preserve">3.3</w:t>
      </w:r>
      <w:r>
        <w:rPr>
          <w:b/>
          <w:bCs/>
          <w:color w:val="auto"/>
          <w:sz w:val="24"/>
          <w:highlight w:val="none"/>
        </w:rPr>
        <w:t xml:space="preserve">其他特定资格要求：</w:t>
      </w:r>
      <w:r>
        <w:rPr>
          <w:rFonts w:hint="eastAsia"/>
          <w:b/>
          <w:bCs/>
          <w:color w:val="auto"/>
          <w:sz w:val="24"/>
          <w:highlight w:val="none"/>
          <w:lang w:val="en-US" w:eastAsia="zh-CN"/>
        </w:rPr>
        <w:t xml:space="preserve">/</w:t>
      </w:r>
      <w:bookmarkEnd w:id="14"/>
      <w:r/>
      <w:bookmarkEnd w:id="15"/>
      <w:r/>
      <w:r/>
    </w:p>
    <w:p>
      <w:pPr>
        <w:pStyle w:val="846"/>
        <w:jc w:val="left"/>
        <w:spacing w:before="0" w:line="360" w:lineRule="auto"/>
        <w:widowControl/>
        <w:rPr>
          <w:rFonts w:ascii="Times New Roman" w:hAnsi="Times New Roman" w:eastAsia="宋体"/>
          <w:sz w:val="24"/>
          <w:szCs w:val="24"/>
          <w:highlight w:val="none"/>
        </w:rPr>
      </w:pPr>
      <w:r/>
      <w:bookmarkStart w:id="16" w:name="_Toc35393792"/>
      <w:r/>
      <w:bookmarkStart w:id="17" w:name="_Toc35393623"/>
      <w:r>
        <w:rPr>
          <w:rFonts w:ascii="Times New Roman" w:hAnsi="Times New Roman" w:eastAsia="宋体"/>
          <w:sz w:val="24"/>
          <w:szCs w:val="24"/>
          <w:highlight w:val="none"/>
        </w:rPr>
        <w:t xml:space="preserve">三、获取招标文件</w:t>
      </w:r>
      <w:bookmarkEnd w:id="16"/>
      <w:r/>
      <w:bookmarkEnd w:id="17"/>
      <w:r/>
      <w:r/>
    </w:p>
    <w:p>
      <w:pPr>
        <w:ind w:firstLine="480"/>
        <w:spacing w:line="360" w:lineRule="auto"/>
        <w:rPr>
          <w:i w:val="0"/>
          <w:iCs w:val="0"/>
          <w:color w:val="000000"/>
          <w:sz w:val="24"/>
          <w:highlight w:val="none"/>
          <w:lang w:bidi="ar"/>
        </w:rPr>
      </w:pPr>
      <w:r>
        <w:rPr>
          <w:sz w:val="24"/>
          <w:highlight w:val="none"/>
          <w:lang w:bidi="ar"/>
        </w:rPr>
        <w:t xml:space="preserve">1.</w:t>
      </w:r>
      <w:r>
        <w:rPr>
          <w:rFonts w:hint="eastAsia"/>
          <w:sz w:val="24"/>
          <w:highlight w:val="none"/>
          <w:lang w:bidi="ar"/>
        </w:rPr>
        <w:t xml:space="preserve">获取招标文件截止</w:t>
      </w:r>
      <w:r>
        <w:rPr>
          <w:sz w:val="24"/>
          <w:highlight w:val="none"/>
          <w:lang w:bidi="ar"/>
        </w:rPr>
        <w:t xml:space="preserve">时间：</w:t>
      </w:r>
      <w:r>
        <w:rPr>
          <w:rFonts w:hint="eastAsia"/>
          <w:i w:val="0"/>
          <w:iCs w:val="0"/>
          <w:color w:val="000000"/>
          <w:sz w:val="24"/>
          <w:highlight w:val="none"/>
          <w:lang w:bidi="ar"/>
        </w:rPr>
        <w:t xml:space="preserve">自</w:t>
      </w:r>
      <w:r>
        <w:rPr>
          <w:rFonts w:hint="eastAsia"/>
          <w:i w:val="0"/>
          <w:iCs w:val="0"/>
          <w:color w:val="000000"/>
          <w:sz w:val="24"/>
          <w:highlight w:val="none"/>
          <w:lang w:eastAsia="zh-CN" w:bidi="ar"/>
        </w:rPr>
        <w:t xml:space="preserve">招标</w:t>
      </w:r>
      <w:r>
        <w:rPr>
          <w:rFonts w:hint="eastAsia"/>
          <w:i w:val="0"/>
          <w:iCs w:val="0"/>
          <w:color w:val="000000"/>
          <w:sz w:val="24"/>
          <w:highlight w:val="none"/>
          <w:lang w:bidi="ar"/>
        </w:rPr>
        <w:t xml:space="preserve">文件公告发布之日起5个工作日</w:t>
      </w:r>
      <w:r>
        <w:rPr>
          <w:i w:val="0"/>
          <w:iCs w:val="0"/>
          <w:color w:val="000000"/>
          <w:sz w:val="24"/>
          <w:highlight w:val="none"/>
          <w:lang w:bidi="ar"/>
        </w:rPr>
        <w:t xml:space="preserve">。</w:t>
      </w:r>
      <w:r/>
    </w:p>
    <w:p>
      <w:pPr>
        <w:ind w:firstLine="480"/>
        <w:spacing w:line="360" w:lineRule="auto"/>
        <w:rPr>
          <w:sz w:val="24"/>
          <w:highlight w:val="none"/>
        </w:rPr>
      </w:pPr>
      <w:r>
        <w:rPr>
          <w:sz w:val="24"/>
          <w:highlight w:val="none"/>
          <w:lang w:bidi="ar"/>
        </w:rPr>
        <w:t xml:space="preserve">2.地点：</w:t>
      </w:r>
      <w:r>
        <w:rPr>
          <w:rFonts w:hint="eastAsia"/>
          <w:sz w:val="24"/>
          <w:highlight w:val="none"/>
          <w:lang w:bidi="ar"/>
        </w:rPr>
        <w:t xml:space="preserve">政府采购一体化平台“苏采云”</w:t>
      </w:r>
      <w:r/>
    </w:p>
    <w:p>
      <w:pPr>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sz w:val="24"/>
          <w:highlight w:val="none"/>
        </w:rPr>
      </w:pPr>
      <w:r>
        <w:rPr>
          <w:sz w:val="24"/>
          <w:highlight w:val="none"/>
          <w:lang w:bidi="ar"/>
        </w:rPr>
        <w:t xml:space="preserve">4.售价：</w:t>
      </w:r>
      <w:r>
        <w:rPr>
          <w:rFonts w:hint="eastAsia"/>
          <w:sz w:val="24"/>
          <w:highlight w:val="none"/>
          <w:u w:val="single"/>
          <w:lang w:bidi="ar"/>
        </w:rPr>
        <w:t xml:space="preserve"> 0 </w:t>
      </w:r>
      <w:r>
        <w:rPr>
          <w:rFonts w:hint="eastAsia"/>
          <w:sz w:val="24"/>
          <w:highlight w:val="none"/>
          <w:lang w:bidi="ar"/>
        </w:rPr>
        <w:t xml:space="preserve">元</w:t>
      </w:r>
      <w:r>
        <w:rPr>
          <w:sz w:val="24"/>
          <w:highlight w:val="none"/>
          <w:lang w:bidi="ar"/>
        </w:rPr>
        <w:t xml:space="preserve">。</w:t>
      </w:r>
      <w:r/>
    </w:p>
    <w:p>
      <w:pPr>
        <w:pStyle w:val="846"/>
        <w:jc w:val="left"/>
        <w:spacing w:before="0" w:line="360" w:lineRule="auto"/>
        <w:widowControl/>
        <w:rPr>
          <w:rFonts w:ascii="Times New Roman" w:hAnsi="Times New Roman" w:eastAsia="宋体"/>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
    </w:p>
    <w:p>
      <w:pPr>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u w:val="single"/>
        </w:rPr>
        <w:t xml:space="preserve">202</w:t>
      </w:r>
      <w:r>
        <w:rPr>
          <w:rFonts w:hint="eastAsia"/>
          <w:sz w:val="24"/>
          <w:highlight w:val="none"/>
          <w:u w:val="single"/>
          <w:lang w:val="en-US" w:eastAsia="zh-CN"/>
        </w:rPr>
        <w:t xml:space="preserve">6</w:t>
      </w:r>
      <w:r>
        <w:rPr>
          <w:sz w:val="24"/>
          <w:highlight w:val="none"/>
          <w:lang w:bidi="ar"/>
        </w:rPr>
        <w:t xml:space="preserve">年</w:t>
      </w:r>
      <w:r>
        <w:rPr>
          <w:rFonts w:hint="eastAsia"/>
          <w:sz w:val="24"/>
          <w:highlight w:val="none"/>
          <w:u w:val="single"/>
          <w:lang w:val="en-US" w:eastAsia="zh-CN"/>
        </w:rPr>
        <w:t xml:space="preserve">01</w:t>
      </w:r>
      <w:r>
        <w:rPr>
          <w:sz w:val="24"/>
          <w:highlight w:val="none"/>
          <w:lang w:bidi="ar"/>
        </w:rPr>
        <w:t xml:space="preserve">月</w:t>
      </w:r>
      <w:r>
        <w:rPr>
          <w:rFonts w:hint="eastAsia"/>
          <w:sz w:val="24"/>
          <w:highlight w:val="none"/>
          <w:u w:val="single"/>
        </w:rPr>
        <w:t xml:space="preserve"> </w:t>
      </w:r>
      <w:r>
        <w:rPr>
          <w:rFonts w:hint="eastAsia"/>
          <w:sz w:val="24"/>
          <w:highlight w:val="none"/>
          <w:u w:val="single"/>
          <w:lang w:val="en-US" w:eastAsia="zh-CN"/>
        </w:rPr>
        <w:t xml:space="preserve">27</w:t>
      </w:r>
      <w:r>
        <w:rPr>
          <w:sz w:val="24"/>
          <w:highlight w:val="none"/>
          <w:lang w:bidi="ar"/>
        </w:rPr>
        <w:t xml:space="preserve">日</w:t>
      </w:r>
      <w:r>
        <w:rPr>
          <w:rFonts w:hint="eastAsia"/>
          <w:sz w:val="24"/>
          <w:highlight w:val="none"/>
          <w:u w:val="single"/>
          <w:lang w:val="en-US" w:eastAsia="zh-CN"/>
        </w:rPr>
        <w:t xml:space="preserve">09</w:t>
      </w:r>
      <w:r>
        <w:rPr>
          <w:sz w:val="24"/>
          <w:highlight w:val="none"/>
          <w:lang w:bidi="ar"/>
        </w:rPr>
        <w:t xml:space="preserve">点</w:t>
      </w:r>
      <w:r>
        <w:rPr>
          <w:rFonts w:hint="eastAsia"/>
          <w:sz w:val="24"/>
          <w:highlight w:val="none"/>
          <w:u w:val="single"/>
          <w:lang w:val="en-US" w:eastAsia="zh-CN"/>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 xml:space="preserve">。</w:t>
      </w:r>
      <w:r/>
    </w:p>
    <w:p>
      <w:pPr>
        <w:pStyle w:val="846"/>
        <w:jc w:val="left"/>
        <w:spacing w:before="0" w:line="360" w:lineRule="auto"/>
        <w:rPr>
          <w:rFonts w:ascii="Times New Roman" w:hAnsi="Times New Roman" w:eastAsia="宋体"/>
          <w:sz w:val="24"/>
          <w:szCs w:val="24"/>
          <w:highlight w:val="none"/>
        </w:rPr>
      </w:pPr>
      <w:r/>
      <w:bookmarkStart w:id="22" w:name="_Toc35393625"/>
      <w:r/>
      <w:bookmarkStart w:id="23" w:name="_Toc35393794"/>
      <w:r/>
      <w:bookmarkStart w:id="24" w:name="_Toc28359084"/>
      <w:r/>
      <w:bookmarkStart w:id="25" w:name="_Toc28359007"/>
      <w:r>
        <w:rPr>
          <w:rFonts w:ascii="Times New Roman" w:hAnsi="Times New Roman" w:eastAsia="宋体"/>
          <w:sz w:val="24"/>
          <w:szCs w:val="24"/>
          <w:highlight w:val="none"/>
        </w:rPr>
        <w:t xml:space="preserve">五、公告期限</w:t>
      </w:r>
      <w:bookmarkEnd w:id="22"/>
      <w:r/>
      <w:bookmarkEnd w:id="23"/>
      <w:r/>
      <w:bookmarkEnd w:id="24"/>
      <w:r/>
      <w:bookmarkEnd w:id="25"/>
      <w:r/>
      <w:r/>
    </w:p>
    <w:p>
      <w:pPr>
        <w:ind w:firstLine="480"/>
        <w:spacing w:line="360" w:lineRule="auto"/>
        <w:rPr>
          <w:sz w:val="24"/>
          <w:highlight w:val="none"/>
        </w:rPr>
      </w:pPr>
      <w:r>
        <w:rPr>
          <w:sz w:val="24"/>
          <w:highlight w:val="none"/>
        </w:rPr>
        <w:t xml:space="preserve">自本公告发布之日起5个工作日。</w:t>
      </w:r>
      <w:r/>
    </w:p>
    <w:p>
      <w:pPr>
        <w:pStyle w:val="846"/>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ascii="Times New Roman" w:hAnsi="Times New Roman" w:eastAsia="宋体"/>
          <w:sz w:val="24"/>
          <w:szCs w:val="24"/>
          <w:highlight w:val="none"/>
        </w:rPr>
        <w:t xml:space="preserve">六、其他补充事宜</w:t>
      </w:r>
      <w:bookmarkEnd w:id="26"/>
      <w:r/>
      <w:bookmarkEnd w:id="27"/>
      <w:r/>
      <w:r/>
    </w:p>
    <w:p>
      <w:pPr>
        <w:ind w:firstLine="480"/>
        <w:jc w:val="left"/>
        <w:spacing w:line="360" w:lineRule="auto"/>
        <w:rPr>
          <w:rFonts w:hint="eastAsia"/>
          <w:sz w:val="24"/>
          <w:highlight w:val="none"/>
          <w:lang w:bidi="ar"/>
        </w:rPr>
      </w:pPr>
      <w:r>
        <w:rPr>
          <w:sz w:val="24"/>
          <w:highlight w:val="none"/>
        </w:rPr>
        <w:t xml:space="preserve">1.本项目需要落实的政府采购政策：</w:t>
      </w:r>
      <w:r>
        <w:rPr>
          <w:rFonts w:hint="eastAsia"/>
          <w:sz w:val="24"/>
          <w:highlight w:val="none"/>
          <w:lang w:bidi="ar"/>
        </w:rPr>
        <w:t xml:space="preserve">扶持小微企业、残疾人福利企业、监狱企业。</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2.1办理CA认证证书</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2.2注册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2.3控件、客户端下载</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2.4 获取电子招标文件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2.5编制电子投标文件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.6</w:t>
      </w:r>
      <w:r>
        <w:rPr>
          <w:rFonts w:hint="eastAsia" w:ascii="宋体" w:hAnsi="宋体" w:eastAsia="宋体" w:cs="宋体"/>
          <w:b w:val="0"/>
          <w:bCs/>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7</w:t>
      </w:r>
      <w:r>
        <w:rPr>
          <w:rFonts w:hint="eastAsia" w:ascii="宋体" w:hAnsi="宋体" w:eastAsia="宋体" w:cs="宋体"/>
          <w:b w:val="0"/>
          <w:bCs/>
          <w:sz w:val="24"/>
          <w:highlight w:val="none"/>
          <w:lang w:val="zh-TW" w:bidi="ar"/>
        </w:rPr>
        <w:t xml:space="preserve">电子开标</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投标人使用</w:t>
      </w:r>
      <w:r>
        <w:rPr>
          <w:rFonts w:hint="eastAsia" w:ascii="宋体" w:hAnsi="宋体" w:eastAsia="宋体" w:cs="宋体"/>
          <w:b w:val="0"/>
          <w:bCs/>
          <w:sz w:val="24"/>
          <w:highlight w:val="none"/>
          <w:lang w:bidi="ar"/>
        </w:rPr>
        <w:t xml:space="preserve">CA认证证书</w:t>
      </w:r>
      <w:r>
        <w:rPr>
          <w:rFonts w:hint="eastAsia" w:ascii="宋体" w:hAnsi="宋体" w:eastAsia="宋体" w:cs="宋体"/>
          <w:b w:val="0"/>
          <w:bCs/>
          <w:sz w:val="24"/>
          <w:highlight w:val="none"/>
          <w:lang w:val="zh-TW" w:bidi="ar"/>
        </w:rPr>
        <w:t xml:space="preserve">登录</w:t>
      </w:r>
      <w:r>
        <w:rPr>
          <w:rFonts w:hint="eastAsia" w:ascii="宋体" w:hAnsi="宋体" w:eastAsia="宋体" w:cs="宋体"/>
          <w:b w:val="0"/>
          <w:bCs/>
          <w:sz w:val="24"/>
          <w:highlight w:val="none"/>
          <w:lang w:bidi="ar"/>
        </w:rPr>
        <w:t xml:space="preserve">政府采购一体化平台“苏采云”进行电子化不见面开标</w:t>
      </w:r>
      <w:r>
        <w:rPr>
          <w:rFonts w:hint="eastAsia" w:ascii="宋体" w:hAnsi="宋体" w:eastAsia="宋体" w:cs="宋体"/>
          <w:b w:val="0"/>
          <w:bCs/>
          <w:sz w:val="24"/>
          <w:highlight w:val="none"/>
          <w:lang w:val="zh-TW" w:bidi="ar"/>
        </w:rPr>
        <w:t xml:space="preserve">。</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2.8注意事项</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 xml:space="preserve">投标人在开标前应当</w:t>
      </w:r>
      <w:r>
        <w:rPr>
          <w:rFonts w:hint="eastAsia" w:ascii="宋体" w:hAnsi="宋体" w:eastAsia="宋体" w:cs="宋体"/>
          <w:b w:val="0"/>
          <w:bCs/>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3.关于常州市中小企业政府采购信用融资：</w:t>
      </w:r>
      <w:r/>
    </w:p>
    <w:p>
      <w:pPr>
        <w:ind w:firstLine="480"/>
        <w:jc w:val="left"/>
        <w:spacing w:line="360" w:lineRule="auto"/>
        <w:rPr>
          <w:b w:val="0"/>
          <w:bCs/>
          <w:sz w:val="24"/>
          <w:highlight w:val="none"/>
          <w:lang w:val="zh-TW" w:bidi="ar"/>
        </w:rPr>
      </w:pPr>
      <w:r>
        <w:rPr>
          <w:rFonts w:hint="eastAsia" w:ascii="宋体" w:hAnsi="宋体" w:eastAsia="宋体" w:cs="宋体"/>
          <w:b w:val="0"/>
          <w:bCs/>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b w:val="0"/>
          <w:bCs/>
          <w:sz w:val="24"/>
          <w:highlight w:val="none"/>
          <w:lang w:val="zh-TW" w:bidi="ar"/>
        </w:rPr>
        <w:t xml:space="preserve">。</w:t>
      </w:r>
      <w:r/>
    </w:p>
    <w:p>
      <w:pPr>
        <w:pStyle w:val="846"/>
        <w:jc w:val="left"/>
        <w:spacing w:before="0" w:line="360" w:lineRule="auto"/>
        <w:rPr>
          <w:rFonts w:hint="eastAsia" w:ascii="宋体" w:hAnsi="宋体" w:eastAsia="宋体" w:cs="宋体"/>
          <w:sz w:val="24"/>
          <w:szCs w:val="24"/>
          <w:highlight w:val="none"/>
        </w:rPr>
      </w:pPr>
      <w:r/>
      <w:bookmarkStart w:id="28" w:name="_Toc28359008"/>
      <w:r/>
      <w:bookmarkStart w:id="29" w:name="_Toc28359085"/>
      <w:r/>
      <w:bookmarkStart w:id="30" w:name="_Toc35393627"/>
      <w:r/>
      <w:bookmarkStart w:id="31" w:name="_Toc35393796"/>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1.采购人信息</w:t>
      </w:r>
      <w:r/>
    </w:p>
    <w:p>
      <w:pPr>
        <w:ind w:left="1079" w:hanging="300"/>
        <w:jc w:val="left"/>
        <w:spacing w:line="360" w:lineRule="auto"/>
        <w:rPr>
          <w:rFonts w:hint="eastAsia" w:ascii="宋体" w:hAnsi="宋体" w:cs="宋体"/>
          <w:sz w:val="24"/>
          <w:highlight w:val="none"/>
          <w:u w:val="single"/>
          <w:lang w:eastAsia="zh-CN"/>
        </w:rPr>
      </w:pPr>
      <w:r/>
      <w:bookmarkStart w:id="32" w:name="_Toc28359086"/>
      <w:r/>
      <w:bookmarkStart w:id="33" w:name="_Toc28359009"/>
      <w:r>
        <w:rPr>
          <w:rFonts w:hint="eastAsia" w:ascii="宋体" w:hAnsi="宋体" w:cs="宋体"/>
          <w:sz w:val="24"/>
          <w:highlight w:val="none"/>
        </w:rPr>
        <w:t xml:space="preserve">名    称：</w:t>
      </w:r>
      <w:r>
        <w:rPr>
          <w:rFonts w:hint="eastAsia" w:ascii="宋体" w:hAnsi="宋体" w:cs="宋体"/>
          <w:sz w:val="24"/>
          <w:highlight w:val="none"/>
          <w:u w:val="single"/>
          <w:lang w:eastAsia="zh-CN"/>
        </w:rPr>
        <w:t xml:space="preserve">溧阳市上兴镇人民政府 </w:t>
      </w:r>
      <w:r/>
    </w:p>
    <w:p>
      <w:pPr>
        <w:ind w:left="1079" w:hanging="300"/>
        <w:jc w:val="left"/>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地    址：</w:t>
      </w:r>
      <w:r>
        <w:rPr>
          <w:rFonts w:hint="eastAsia"/>
          <w:sz w:val="24"/>
          <w:highlight w:val="none"/>
          <w:u w:val="single"/>
        </w:rPr>
        <w:t xml:space="preserve">江苏省常州市溧阳市上兴集镇</w:t>
      </w:r>
      <w:r/>
    </w:p>
    <w:p>
      <w:pPr>
        <w:ind w:left="1079" w:hanging="300"/>
        <w:jc w:val="left"/>
        <w:spacing w:line="360" w:lineRule="auto"/>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联系方式：</w:t>
      </w:r>
      <w:r>
        <w:rPr>
          <w:rFonts w:hint="eastAsia" w:ascii="宋体" w:hAnsi="宋体" w:eastAsia="宋体" w:cs="宋体"/>
          <w:sz w:val="24"/>
          <w:highlight w:val="none"/>
          <w:u w:val="single"/>
          <w:lang w:val="en-US" w:eastAsia="zh-CN"/>
        </w:rPr>
        <w:t xml:space="preserve">17625241107 （该个人信息因工作需要经本人同意公开）</w:t>
      </w:r>
      <w:r/>
    </w:p>
    <w:p>
      <w:pPr>
        <w:ind w:left="1078" w:hanging="299"/>
        <w:jc w:val="left"/>
        <w:spacing w:line="360" w:lineRule="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sz w:val="24"/>
          <w:highlight w:val="none"/>
        </w:rPr>
      </w:pPr>
      <w:r/>
      <w:bookmarkStart w:id="34" w:name="_Toc28359087"/>
      <w:r/>
      <w:bookmarkStart w:id="35" w:name="_Toc28359010"/>
      <w:r>
        <w:rPr>
          <w:rFonts w:hint="eastAsia" w:ascii="宋体" w:hAnsi="宋体" w:cs="宋体"/>
          <w:sz w:val="24"/>
          <w:highlight w:val="none"/>
        </w:rPr>
        <w:t xml:space="preserve">名    称：</w:t>
      </w:r>
      <w:r>
        <w:rPr>
          <w:rFonts w:hint="eastAsia" w:ascii="宋体" w:hAnsi="宋体" w:cs="宋体"/>
          <w:sz w:val="24"/>
          <w:highlight w:val="none"/>
          <w:u w:val="single"/>
        </w:rPr>
        <w:t xml:space="preserve">江苏溧投招标服务有限公司</w:t>
      </w:r>
      <w:r/>
    </w:p>
    <w:p>
      <w:pPr>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江苏省溧阳市溧城街道南环西路（永定路）108号嘉源广场2幢1单元5楼</w:t>
      </w:r>
      <w:r/>
    </w:p>
    <w:p>
      <w:pPr>
        <w:ind w:left="1076" w:hanging="297"/>
        <w:jc w:val="left"/>
        <w:spacing w:line="360" w:lineRule="auto"/>
        <w:rPr>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0519-87968552</w:t>
      </w:r>
      <w:r/>
    </w:p>
    <w:p>
      <w:pPr>
        <w:ind w:left="1078" w:hanging="299"/>
        <w:spacing w:line="360" w:lineRule="auto"/>
        <w:rPr>
          <w:b/>
          <w:sz w:val="24"/>
          <w:highlight w:val="none"/>
          <w:u w:val="single"/>
        </w:rPr>
      </w:pPr>
      <w:r>
        <w:rPr>
          <w:b/>
          <w:sz w:val="24"/>
          <w:highlight w:val="none"/>
        </w:rPr>
        <w:t xml:space="preserve">3.项目联系方式</w:t>
      </w:r>
      <w:r/>
    </w:p>
    <w:p>
      <w:pPr>
        <w:pStyle w:val="869"/>
        <w:ind w:left="1076" w:hanging="297"/>
        <w:spacing w:line="360" w:lineRule="auto"/>
        <w:rPr>
          <w:rFonts w:ascii="Times New Roman" w:hAnsi="Times New Roman"/>
          <w:sz w:val="24"/>
          <w:highlight w:val="none"/>
          <w:u w:val="single"/>
          <w:lang w:bidi="ar"/>
        </w:rPr>
      </w:pPr>
      <w:r>
        <w:rPr>
          <w:rFonts w:hint="default" w:ascii="Times New Roman" w:hAnsi="Times New Roman"/>
          <w:sz w:val="24"/>
          <w:szCs w:val="24"/>
          <w:highlight w:val="none"/>
        </w:rPr>
        <w:t xml:space="preserve">项目联系人：</w:t>
      </w:r>
      <w:r>
        <w:rPr>
          <w:rFonts w:hint="eastAsia" w:ascii="Times New Roman" w:hAnsi="Times New Roman"/>
          <w:sz w:val="24"/>
          <w:szCs w:val="24"/>
          <w:highlight w:val="none"/>
          <w:u w:val="single"/>
          <w:lang w:eastAsia="zh-CN"/>
        </w:rPr>
        <w:t xml:space="preserve">王</w:t>
      </w:r>
      <w:r>
        <w:rPr>
          <w:rFonts w:ascii="Times New Roman" w:hAnsi="Times New Roman"/>
          <w:sz w:val="24"/>
          <w:highlight w:val="none"/>
          <w:u w:val="single"/>
        </w:rPr>
        <w:t xml:space="preserve">工</w:t>
      </w:r>
      <w:r/>
    </w:p>
    <w:p>
      <w:pPr>
        <w:pStyle w:val="869"/>
        <w:ind w:left="1076" w:hanging="297"/>
        <w:spacing w:line="360" w:lineRule="auto"/>
        <w:rPr>
          <w:rFonts w:hint="default" w:ascii="Times New Roman" w:hAnsi="Times New Roman"/>
          <w:sz w:val="24"/>
          <w:szCs w:val="24"/>
          <w:highlight w:val="none"/>
        </w:rPr>
      </w:pPr>
      <w:r>
        <w:rPr>
          <w:rFonts w:hint="default" w:ascii="Times New Roman" w:hAnsi="Times New Roman"/>
          <w:sz w:val="24"/>
          <w:highlight w:val="none"/>
        </w:rPr>
        <w:t xml:space="preserve">电      话：</w:t>
      </w:r>
      <w:r>
        <w:rPr>
          <w:rFonts w:hint="default" w:hAnsi="宋体" w:cs="宋体"/>
          <w:sz w:val="24"/>
          <w:szCs w:val="24"/>
          <w:highlight w:val="none"/>
          <w:u w:val="single"/>
        </w:rPr>
        <w:t xml:space="preserve">0519-87968552</w:t>
      </w:r>
      <w:r/>
    </w:p>
    <w:p>
      <w:pPr>
        <w:ind w:left="1076" w:hanging="297"/>
        <w:jc w:val="left"/>
        <w:spacing w:line="360" w:lineRule="auto"/>
        <w:rPr>
          <w:rFonts w:ascii="宋体" w:hAnsi="宋体" w:cs="宋体"/>
          <w:sz w:val="24"/>
          <w:highlight w:val="none"/>
          <w:u w:val="single"/>
        </w:rPr>
      </w:pPr>
      <w:r>
        <w:rPr>
          <w:rFonts w:ascii="宋体" w:hAnsi="宋体" w:cs="宋体"/>
          <w:sz w:val="24"/>
          <w:highlight w:val="none"/>
          <w:u w:val="single"/>
        </w:rPr>
      </w:r>
      <w:bookmarkEnd w:id="34"/>
      <w:bookmarkEnd w:id="35"/>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36" w:name="_Toc305158854"/>
      <w:r/>
      <w:bookmarkStart w:id="37" w:name="_Toc226965856"/>
      <w:r/>
      <w:bookmarkStart w:id="38" w:name="_Toc353873938"/>
      <w:r/>
      <w:bookmarkStart w:id="39" w:name="_Toc265228423"/>
      <w:r/>
      <w:bookmarkStart w:id="40" w:name="_Toc99301420"/>
      <w:r/>
      <w:bookmarkStart w:id="41" w:name="_Toc127151777"/>
      <w:r/>
      <w:bookmarkStart w:id="42" w:name="_Toc305158928"/>
      <w:r/>
      <w:bookmarkStart w:id="43" w:name="_Toc195842950"/>
      <w:r/>
      <w:bookmarkStart w:id="44" w:name="_Toc150774783"/>
      <w:r/>
      <w:bookmarkStart w:id="45" w:name="_Toc127161488"/>
      <w:r/>
      <w:bookmarkStart w:id="46" w:name="_Toc512937850"/>
      <w:r/>
      <w:bookmarkStart w:id="47" w:name="_Toc264969275"/>
      <w:r/>
      <w:bookmarkStart w:id="48" w:name="_Toc353825548"/>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846"/>
        <w:spacing w:before="0" w:line="360" w:lineRule="auto"/>
        <w:tabs>
          <w:tab w:val="center" w:pos="4592" w:leader="none"/>
          <w:tab w:val="left" w:pos="7860" w:leader="none"/>
        </w:tabs>
        <w:rPr>
          <w:rFonts w:ascii="Times New Roman" w:hAnsi="Times New Roman" w:eastAsia="宋体"/>
          <w:sz w:val="28"/>
          <w:highlight w:val="none"/>
        </w:rPr>
      </w:pPr>
      <w:r/>
      <w:bookmarkStart w:id="49" w:name="_Toc226337215"/>
      <w:r/>
      <w:bookmarkStart w:id="50" w:name="_Toc142311021"/>
      <w:r/>
      <w:bookmarkStart w:id="51" w:name="_Toc164608788"/>
      <w:r/>
      <w:bookmarkStart w:id="52" w:name="_Toc151193689"/>
      <w:r/>
      <w:bookmarkStart w:id="53" w:name="_Toc195842884"/>
      <w:r/>
      <w:bookmarkStart w:id="54" w:name="_Toc164229214"/>
      <w:r/>
      <w:bookmarkStart w:id="55" w:name="_Toc226965709"/>
      <w:r/>
      <w:bookmarkStart w:id="56" w:name="_Toc127151720"/>
      <w:r/>
      <w:bookmarkStart w:id="57" w:name="_Toc150774724"/>
      <w:r/>
      <w:bookmarkStart w:id="58" w:name="_Toc164608633"/>
      <w:r/>
      <w:bookmarkStart w:id="59" w:name="_Toc164229360"/>
      <w:r/>
      <w:bookmarkStart w:id="60" w:name="_Toc150480757"/>
      <w:r/>
      <w:bookmarkStart w:id="61" w:name="_Toc151193833"/>
      <w:r/>
      <w:bookmarkStart w:id="62" w:name="_Toc127161433"/>
      <w:r/>
      <w:bookmarkStart w:id="63" w:name="_Toc150509270"/>
      <w:r/>
      <w:bookmarkStart w:id="64" w:name="_Toc151193761"/>
      <w:r/>
      <w:bookmarkStart w:id="65" w:name="_Toc151193907"/>
      <w:r/>
      <w:bookmarkStart w:id="66" w:name="_Toc226965792"/>
      <w:r/>
      <w:bookmarkStart w:id="67" w:name="_Toc164351613"/>
      <w:r/>
      <w:bookmarkStart w:id="68" w:name="_Toc151193617"/>
      <w:r/>
      <w:bookmarkStart w:id="69" w:name="_Toc149720812"/>
      <w:r/>
      <w:bookmarkStart w:id="70" w:name="_Toc520356144"/>
      <w:r/>
      <w:bookmarkStart w:id="71" w:name="_Toc150774619"/>
      <w:r/>
      <w:bookmarkStart w:id="72" w:name="_Toc226309763"/>
      <w:r/>
      <w:bookmarkStart w:id="73" w:name="_Toc127151519"/>
      <w:r/>
      <w:bookmarkStart w:id="74" w:name="_Toc151190146"/>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b/>
          <w:sz w:val="24"/>
          <w:highlight w:val="none"/>
        </w:rPr>
        <w:t xml:space="preserve">■</w:t>
      </w:r>
      <w:r>
        <w:rPr>
          <w:sz w:val="24"/>
          <w:highlight w:val="none"/>
        </w:rPr>
        <w:t xml:space="preserve">”的选项意为适用于本项目，标记“□”的选项意为不适用于本项目。</w:t>
      </w:r>
      <w:r/>
    </w:p>
    <w:tbl>
      <w:tblPr>
        <w:tblStyle w:val="85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cantSplit/>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hint="eastAsia" w:ascii="宋体" w:hAnsi="宋体" w:cs="宋体"/>
                <w:b/>
                <w:sz w:val="24"/>
                <w:highlight w:val="none"/>
              </w:rPr>
              <w:t xml:space="preserve">■</w:t>
            </w:r>
            <w:r>
              <w:rPr>
                <w:sz w:val="24"/>
                <w:highlight w:val="none"/>
              </w:rPr>
              <w:t xml:space="preserve">服务</w:t>
            </w:r>
            <w:r/>
          </w:p>
          <w:p>
            <w:pPr>
              <w:jc w:val="left"/>
              <w:rPr>
                <w:sz w:val="24"/>
                <w:highlight w:val="none"/>
                <w:u w:val="single"/>
              </w:rPr>
            </w:pPr>
            <w:r>
              <w:rPr>
                <w:rFonts w:hint="eastAsia" w:ascii="宋体" w:hAnsi="宋体" w:eastAsia="宋体" w:cs="宋体"/>
                <w:sz w:val="24"/>
                <w:highlight w:val="none"/>
              </w:rPr>
              <w:t xml:space="preserve">□</w:t>
            </w:r>
            <w:r>
              <w:rPr>
                <w:sz w:val="24"/>
                <w:highlight w:val="none"/>
              </w:rPr>
              <w:t xml:space="preserve">货物</w:t>
            </w:r>
            <w:r/>
          </w:p>
        </w:tc>
      </w:tr>
      <w:tr>
        <w:trPr>
          <w:cantSplit/>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是</w:t>
            </w:r>
            <w:r/>
          </w:p>
          <w:p>
            <w:pPr>
              <w:jc w:val="left"/>
              <w:rPr>
                <w:sz w:val="24"/>
                <w:highlight w:val="none"/>
              </w:rPr>
            </w:pPr>
            <w:r>
              <w:rPr>
                <w:rFonts w:hint="eastAsia" w:ascii="宋体" w:hAnsi="宋体" w:cs="宋体"/>
                <w:b/>
                <w:sz w:val="24"/>
                <w:highlight w:val="none"/>
              </w:rPr>
              <w:t xml:space="preserve">■</w:t>
            </w:r>
            <w:r>
              <w:rPr>
                <w:sz w:val="24"/>
                <w:highlight w:val="none"/>
              </w:rPr>
              <w:t xml:space="preserve">否</w:t>
            </w:r>
            <w:r/>
          </w:p>
        </w:tc>
      </w:tr>
      <w:tr>
        <w:trPr>
          <w:cantSplit/>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869"/>
              <w:rPr>
                <w:rFonts w:hint="default" w:ascii="Times New Roman" w:hAnsi="Times New Roman"/>
                <w:sz w:val="24"/>
                <w:szCs w:val="24"/>
                <w:highlight w:val="none"/>
              </w:rPr>
            </w:pPr>
            <w:r>
              <w:rPr>
                <w:rFonts w:hint="eastAsia" w:ascii="宋体" w:hAnsi="宋体" w:cs="宋体"/>
                <w:b/>
                <w:sz w:val="24"/>
                <w:highlight w:val="none"/>
              </w:rPr>
              <w:t xml:space="preserve">■</w:t>
            </w:r>
            <w:r>
              <w:rPr>
                <w:rFonts w:hint="default" w:ascii="Times New Roman" w:hAnsi="Times New Roman"/>
                <w:sz w:val="24"/>
                <w:szCs w:val="24"/>
                <w:highlight w:val="none"/>
              </w:rPr>
              <w:t xml:space="preserve">关于核心产品本项目__包不适用。</w:t>
            </w:r>
            <w:r/>
          </w:p>
          <w:p>
            <w:pPr>
              <w:pStyle w:val="869"/>
              <w:rPr>
                <w:rFonts w:hint="default" w:ascii="Times New Roman" w:hAnsi="Times New Roman"/>
                <w:sz w:val="24"/>
                <w:szCs w:val="24"/>
                <w:highlight w:val="none"/>
              </w:rPr>
            </w:pPr>
            <w:r>
              <w:rPr>
                <w:rFonts w:hint="eastAsia" w:ascii="宋体" w:hAnsi="宋体" w:eastAsia="宋体" w:cs="宋体"/>
                <w:sz w:val="24"/>
                <w:highlight w:val="none"/>
                <w:lang w:eastAsia="zh-CN"/>
              </w:rPr>
              <w:t xml:space="preserve">□</w:t>
            </w:r>
            <w:r>
              <w:rPr>
                <w:rFonts w:hint="default" w:ascii="Times New Roman" w:hAnsi="Times New Roman"/>
                <w:sz w:val="24"/>
                <w:szCs w:val="24"/>
                <w:highlight w:val="none"/>
              </w:rPr>
              <w:t xml:space="preserve">本项目__包为单一产品采购项目。</w:t>
            </w:r>
            <w:r/>
          </w:p>
          <w:p>
            <w:pPr>
              <w:pStyle w:val="1101"/>
              <w:jc w:val="both"/>
              <w:rPr>
                <w:sz w:val="24"/>
                <w:highlight w:val="none"/>
              </w:rPr>
            </w:pPr>
            <w:r>
              <w:rPr>
                <w:rFonts w:hint="eastAsia" w:ascii="宋体" w:hAnsi="宋体" w:eastAsia="宋体" w:cs="宋体"/>
                <w:sz w:val="24"/>
                <w:highlight w:val="none"/>
                <w:lang w:eastAsia="zh-CN"/>
              </w:rPr>
              <w:t xml:space="preserve">□</w:t>
            </w:r>
            <w:r>
              <w:rPr>
                <w:sz w:val="24"/>
                <w:highlight w:val="none"/>
              </w:rPr>
              <w:t xml:space="preserve">本项目为非单一产品采购项目，核心产品为：</w:t>
            </w:r>
            <w:r>
              <w:rPr>
                <w:rFonts w:hint="eastAsia"/>
                <w:sz w:val="24"/>
                <w:szCs w:val="24"/>
                <w:highlight w:val="none"/>
                <w:u w:val="single"/>
                <w:lang w:val="en-US" w:eastAsia="zh-CN"/>
              </w:rPr>
              <w:t xml:space="preserve">      </w:t>
            </w:r>
            <w:r>
              <w:rPr>
                <w:sz w:val="24"/>
                <w:highlight w:val="none"/>
              </w:rPr>
              <w:t xml:space="preserve">。</w:t>
            </w:r>
            <w:r/>
          </w:p>
        </w:tc>
      </w:tr>
      <w:tr>
        <w:trPr>
          <w:cantSplit/>
          <w:jc w:val="center"/>
          <w:trHeight w:val="20"/>
        </w:trPr>
        <w:tc>
          <w:tcPr>
            <w:tcW w:w="988" w:type="dxa"/>
            <w:vAlign w:val="center"/>
            <w:vMerge w:val="restart"/>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rFonts w:hint="eastAsia" w:eastAsia="宋体"/>
                <w:sz w:val="24"/>
                <w:highlight w:val="none"/>
                <w:lang w:eastAsia="zh-CN"/>
              </w:rPr>
            </w:pPr>
            <w:r>
              <w:rPr>
                <w:rFonts w:hint="eastAsia" w:ascii="宋体" w:hAnsi="宋体" w:cs="宋体"/>
                <w:b/>
                <w:sz w:val="24"/>
                <w:highlight w:val="none"/>
              </w:rPr>
              <w:t xml:space="preserve">■</w:t>
            </w:r>
            <w:r>
              <w:rPr>
                <w:sz w:val="24"/>
                <w:highlight w:val="none"/>
              </w:rPr>
              <w:t xml:space="preserve">不组织</w:t>
            </w:r>
            <w:r>
              <w:rPr>
                <w:rFonts w:hint="eastAsia"/>
                <w:sz w:val="24"/>
                <w:highlight w:val="none"/>
                <w:lang w:eastAsia="zh-CN"/>
              </w:rPr>
              <w:t xml:space="preserve">。</w:t>
            </w:r>
            <w:r/>
          </w:p>
          <w:p>
            <w:pPr>
              <w:jc w:val="left"/>
              <w:rPr>
                <w:bCs/>
                <w:sz w:val="24"/>
                <w:highlight w:val="none"/>
              </w:rPr>
            </w:pPr>
            <w:r>
              <w:rPr>
                <w:rFonts w:hint="eastAsia" w:ascii="宋体" w:hAnsi="宋体" w:eastAsia="宋体" w:cs="宋体"/>
                <w:sz w:val="24"/>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jc w:val="left"/>
              <w:rPr>
                <w:rFonts w:hint="eastAsia"/>
                <w:bCs/>
                <w:sz w:val="24"/>
                <w:highlight w:val="none"/>
              </w:rPr>
            </w:pPr>
            <w:r>
              <w:rPr>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rFonts w:hint="eastAsia" w:ascii="宋体" w:hAnsi="宋体" w:cs="宋体"/>
                <w:b/>
                <w:sz w:val="24"/>
                <w:highlight w:val="none"/>
              </w:rPr>
              <w:t xml:space="preserve">■</w:t>
            </w:r>
            <w:r>
              <w:rPr>
                <w:sz w:val="24"/>
                <w:highlight w:val="none"/>
              </w:rPr>
              <w:t xml:space="preserve">不召开</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cantSplit/>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p>
          <w:p>
            <w:pPr>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□需要，具体要求如下：</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（1）样品制作的标准和要求：_________；</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（2）是否需要随样品提交相关检测报告：</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□不需要</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（3）样品递交要求：_________；</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（4）未中标人样品退还：_________；</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（5）中标人样品保管、封存及退还：_________；</w:t>
            </w:r>
            <w:r/>
          </w:p>
          <w:p>
            <w:pPr>
              <w:jc w:val="left"/>
              <w:rPr>
                <w:sz w:val="24"/>
                <w:highlight w:val="none"/>
              </w:rPr>
            </w:pPr>
            <w:r>
              <w:rPr>
                <w:rFonts w:hint="eastAsia" w:ascii="宋体" w:hAnsi="宋体" w:eastAsia="宋体" w:cs="宋体"/>
                <w:sz w:val="24"/>
                <w:highlight w:val="none"/>
              </w:rPr>
              <w:t xml:space="preserve">（6）其他要求（如有）：_________。</w:t>
            </w:r>
            <w:r/>
          </w:p>
        </w:tc>
      </w:tr>
      <w:tr>
        <w:trPr>
          <w:cantSplit/>
          <w:jc w:val="center"/>
          <w:trHeight w:val="631"/>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其他未列明行业</w:t>
            </w:r>
            <w:r/>
          </w:p>
        </w:tc>
      </w:tr>
    </w:tbl>
    <w:p>
      <w:pPr>
        <w:rPr>
          <w:highlight w:val="none"/>
        </w:rPr>
      </w:pPr>
      <w:r>
        <w:rPr>
          <w:highlight w:val="none"/>
        </w:rPr>
        <w:br w:type="page" w:clear="all"/>
      </w:r>
      <w:r/>
    </w:p>
    <w:tbl>
      <w:tblPr>
        <w:tblStyle w:val="85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ascii="Times New Roman" w:hAnsi="Times New Roman"/>
                <w:sz w:val="24"/>
                <w:szCs w:val="24"/>
                <w:highlight w:val="none"/>
              </w:rPr>
              <w:t xml:space="preserve">1</w:t>
            </w:r>
            <w:r>
              <w:rPr>
                <w:rFonts w:hint="default" w:ascii="Times New Roman" w:hAnsi="Times New Roman"/>
                <w:sz w:val="24"/>
                <w:szCs w:val="24"/>
                <w:highlight w:val="none"/>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spacing w:line="240" w:lineRule="auto"/>
              <w:rPr>
                <w:sz w:val="24"/>
                <w:highlight w:val="none"/>
              </w:rPr>
            </w:pPr>
            <w:r>
              <w:rPr>
                <w:rFonts w:hint="eastAsia"/>
                <w:sz w:val="24"/>
                <w:highlight w:val="none"/>
              </w:rPr>
              <w:t xml:space="preserve">投标报价的特殊规定：</w:t>
            </w:r>
            <w:r/>
          </w:p>
          <w:p>
            <w:pPr>
              <w:jc w:val="left"/>
              <w:spacing w:line="240" w:lineRule="auto"/>
              <w:rPr>
                <w:sz w:val="24"/>
                <w:highlight w:val="none"/>
              </w:rPr>
            </w:pPr>
            <w:r>
              <w:rPr>
                <w:rFonts w:hint="eastAsia" w:ascii="宋体" w:hAnsi="宋体" w:cs="宋体"/>
                <w:b/>
                <w:sz w:val="24"/>
                <w:highlight w:val="none"/>
              </w:rPr>
              <w:t xml:space="preserve">■</w:t>
            </w:r>
            <w:r>
              <w:rPr>
                <w:sz w:val="24"/>
                <w:highlight w:val="none"/>
              </w:rPr>
              <w:t xml:space="preserve">无</w:t>
            </w:r>
            <w:r/>
          </w:p>
          <w:p>
            <w:pPr>
              <w:jc w:val="left"/>
              <w:spacing w:line="240" w:lineRule="auto"/>
              <w:rPr>
                <w:highlight w:val="none"/>
              </w:rPr>
            </w:pPr>
            <w:r>
              <w:rPr>
                <w:rFonts w:hint="eastAsia" w:ascii="宋体" w:hAnsi="宋体" w:eastAsia="宋体" w:cs="宋体"/>
                <w:sz w:val="24"/>
                <w:highlight w:val="none"/>
              </w:rPr>
              <w:t xml:space="preserve">□</w:t>
            </w:r>
            <w:r>
              <w:rPr>
                <w:sz w:val="24"/>
                <w:highlight w:val="none"/>
              </w:rPr>
              <w:t xml:space="preserve">有，具体情形：_____。</w:t>
            </w:r>
            <w:r/>
          </w:p>
        </w:tc>
      </w:tr>
      <w:tr>
        <w:trPr>
          <w:jc w:val="center"/>
          <w:trHeight w:val="20"/>
        </w:trPr>
        <w:tc>
          <w:tcPr>
            <w:tcW w:w="988" w:type="dxa"/>
            <w:vAlign w:val="center"/>
            <w:textDirection w:val="lrTb"/>
            <w:noWrap w:val="false"/>
          </w:tcPr>
          <w:p>
            <w:pPr>
              <w:pStyle w:val="869"/>
              <w:jc w:val="center"/>
              <w:rPr>
                <w:rFonts w:hint="default" w:ascii="Times New Roman" w:hAnsi="Times New Roman" w:eastAsia="宋体"/>
                <w:sz w:val="24"/>
                <w:szCs w:val="24"/>
                <w:highlight w:val="none"/>
                <w:lang w:val="en-US" w:eastAsia="zh-CN"/>
              </w:rPr>
            </w:pPr>
            <w:r>
              <w:rPr>
                <w:rFonts w:ascii="Times New Roman" w:hAnsi="Times New Roman"/>
                <w:sz w:val="24"/>
                <w:szCs w:val="24"/>
                <w:highlight w:val="none"/>
              </w:rPr>
              <w:t xml:space="preserve">12</w:t>
            </w:r>
            <w:r>
              <w:rPr>
                <w:rFonts w:hint="eastAsia" w:ascii="Times New Roman" w:hAnsi="Times New Roman"/>
                <w:sz w:val="24"/>
                <w:szCs w:val="24"/>
                <w:highlight w:val="none"/>
                <w:lang w:val="en-US" w:eastAsia="zh-CN"/>
              </w:rPr>
              <w:t xml:space="preserve">.1</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20"/>
        </w:trPr>
        <w:tc>
          <w:tcPr>
            <w:tcW w:w="988" w:type="dxa"/>
            <w:vAlign w:val="center"/>
            <w:textDirection w:val="lrTb"/>
            <w:noWrap w:val="false"/>
          </w:tcPr>
          <w:p>
            <w:pPr>
              <w:pStyle w:val="869"/>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12.2</w:t>
            </w:r>
            <w:r/>
          </w:p>
        </w:tc>
        <w:tc>
          <w:tcPr>
            <w:tcW w:w="1701" w:type="dxa"/>
            <w:vAlign w:val="center"/>
            <w:textDirection w:val="lrTb"/>
            <w:noWrap w:val="false"/>
          </w:tcPr>
          <w:p>
            <w:pPr>
              <w:jc w:val="center"/>
              <w:rPr>
                <w:rFonts w:hint="eastAsia"/>
                <w:sz w:val="24"/>
                <w:highlight w:val="none"/>
              </w:rPr>
            </w:pPr>
            <w:r>
              <w:rPr>
                <w:rFonts w:hint="eastAsia"/>
                <w:sz w:val="24"/>
                <w:lang w:val="en-US" w:eastAsia="zh-CN"/>
              </w:rPr>
              <w:t xml:space="preserve">履约保证金</w:t>
            </w:r>
            <w:r/>
          </w:p>
        </w:tc>
        <w:tc>
          <w:tcPr>
            <w:tcW w:w="7540" w:type="dxa"/>
            <w:vAlign w:val="center"/>
            <w:textDirection w:val="lrTb"/>
            <w:noWrap w:val="false"/>
          </w:tcPr>
          <w:p>
            <w:pPr>
              <w:jc w:val="left"/>
              <w:rPr>
                <w:rFonts w:hint="eastAsia"/>
                <w:sz w:val="24"/>
                <w:highlight w:val="none"/>
              </w:rPr>
            </w:pPr>
            <w:r>
              <w:rPr>
                <w:rFonts w:hint="eastAsia" w:ascii="Times New Roman" w:hAnsi="Times New Roman" w:eastAsia="宋体" w:cs="Times New Roman"/>
                <w:sz w:val="24"/>
                <w:lang w:val="en-US" w:eastAsia="zh-CN"/>
              </w:rPr>
              <w:t xml:space="preserve">按</w:t>
            </w:r>
            <w:r>
              <w:rPr>
                <w:rFonts w:hint="eastAsia" w:ascii="Times New Roman" w:hAnsi="Times New Roman" w:eastAsia="宋体" w:cs="Times New Roman"/>
                <w:sz w:val="24"/>
              </w:rPr>
              <w:t xml:space="preserve">中标价（年运行经费）的10%</w:t>
            </w:r>
            <w:r>
              <w:rPr>
                <w:rFonts w:hint="eastAsia" w:ascii="Times New Roman" w:hAnsi="Times New Roman" w:eastAsia="宋体" w:cs="Times New Roman"/>
                <w:sz w:val="24"/>
                <w:lang w:val="en-US" w:eastAsia="zh-CN"/>
              </w:rPr>
              <w:t xml:space="preserve">收取</w:t>
            </w:r>
            <w:r/>
          </w:p>
        </w:tc>
      </w:tr>
      <w:tr>
        <w:trPr>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rFonts w:hint="eastAsia" w:ascii="宋体" w:hAnsi="宋体" w:cs="宋体"/>
                <w:b/>
                <w:sz w:val="24"/>
                <w:highlight w:val="none"/>
              </w:rPr>
              <w:t xml:space="preserve">■</w:t>
            </w:r>
            <w:r>
              <w:rPr>
                <w:sz w:val="24"/>
                <w:highlight w:val="none"/>
              </w:rPr>
              <w:t xml:space="preserve">不允许</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允许，具体要求：</w:t>
            </w:r>
            <w:r/>
          </w:p>
          <w:p>
            <w:pPr>
              <w:jc w:val="left"/>
              <w:rPr>
                <w:sz w:val="24"/>
                <w:highlight w:val="none"/>
              </w:rPr>
            </w:pPr>
            <w:r>
              <w:rPr>
                <w:sz w:val="24"/>
                <w:highlight w:val="none"/>
              </w:rPr>
              <w:t xml:space="preserve">（1）可以分包履行的具体内容：______</w:t>
            </w:r>
            <w:r>
              <w:rPr>
                <w:sz w:val="24"/>
                <w:highlight w:val="none"/>
                <w:u w:val="single"/>
              </w:rPr>
              <w:t xml:space="preserve">_</w:t>
            </w:r>
            <w:r>
              <w:rPr>
                <w:sz w:val="24"/>
                <w:highlight w:val="none"/>
              </w:rPr>
              <w:t xml:space="preserve">；</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江苏溧投招标服务有限公司综合办</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0519-87968552</w:t>
            </w:r>
            <w:r>
              <w:rPr>
                <w:rFonts w:hint="eastAsia" w:ascii="宋体" w:hAnsi="宋体" w:cs="宋体"/>
                <w:sz w:val="24"/>
                <w:highlight w:val="none"/>
              </w:rPr>
              <w:t xml:space="preserve">；</w:t>
            </w:r>
            <w:r/>
          </w:p>
          <w:p>
            <w:pPr>
              <w:jc w:val="left"/>
              <w:rPr>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江苏省溧阳市溧城街道南环西路（永定路）108号嘉源广场2幢1单元5楼</w:t>
            </w:r>
            <w:r>
              <w:rPr>
                <w:rFonts w:hint="eastAsia" w:ascii="宋体" w:hAnsi="宋体" w:cs="宋体"/>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highlight w:val="none"/>
              </w:rPr>
            </w:pPr>
            <w:r>
              <w:rPr>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收费对象：</w:t>
            </w:r>
            <w:r/>
          </w:p>
          <w:p>
            <w:pPr>
              <w:jc w:val="left"/>
              <w:rPr>
                <w:rFonts w:hint="eastAsia" w:ascii="宋体" w:hAnsi="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采购人</w:t>
            </w:r>
            <w:r/>
          </w:p>
          <w:p>
            <w:pPr>
              <w:jc w:val="left"/>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中标人</w:t>
            </w:r>
            <w:r/>
          </w:p>
          <w:p>
            <w:pPr>
              <w:jc w:val="left"/>
              <w:rPr>
                <w:rFonts w:hint="eastAsia" w:ascii="宋体" w:hAnsi="宋体" w:cs="宋体"/>
                <w:sz w:val="24"/>
                <w:highlight w:val="none"/>
                <w:u w:val="single"/>
              </w:rPr>
            </w:pPr>
            <w:r>
              <w:rPr>
                <w:rFonts w:hint="eastAsia" w:ascii="宋体" w:hAnsi="宋体" w:cs="宋体"/>
                <w:sz w:val="24"/>
                <w:highlight w:val="none"/>
              </w:rPr>
              <w:t xml:space="preserve">收费标准：</w:t>
            </w:r>
            <w:r>
              <w:rPr>
                <w:rFonts w:hint="eastAsia" w:ascii="宋体" w:hAnsi="宋体" w:cs="宋体"/>
                <w:sz w:val="24"/>
                <w:highlight w:val="none"/>
                <w:u w:val="single"/>
                <w:lang w:val="en-US" w:eastAsia="zh-CN"/>
              </w:rPr>
              <w:t xml:space="preserve">按照上兴镇“二区一镇”的收费标准进行阶梯式收取。</w:t>
            </w:r>
            <w:r/>
          </w:p>
          <w:p>
            <w:pPr>
              <w:jc w:val="left"/>
              <w:rPr>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领取中标通知书前</w:t>
            </w:r>
            <w:r>
              <w:rPr>
                <w:rFonts w:hint="eastAsia" w:ascii="宋体" w:hAnsi="宋体" w:cs="宋体"/>
                <w:sz w:val="24"/>
                <w:highlight w:val="none"/>
              </w:rPr>
              <w:t xml:space="preserve">。</w:t>
            </w:r>
            <w:r/>
          </w:p>
        </w:tc>
      </w:tr>
    </w:tbl>
    <w:p>
      <w:pPr>
        <w:jc w:val="both"/>
        <w:spacing w:line="360" w:lineRule="auto"/>
        <w:tabs>
          <w:tab w:val="left" w:pos="5580" w:leader="none"/>
        </w:tabs>
        <w:rPr>
          <w:sz w:val="24"/>
          <w:highlight w:val="none"/>
        </w:rPr>
        <w:sectPr>
          <w:footerReference w:type="default" r:id="rId18"/>
          <w:footnotePr/>
          <w:endnotePr/>
          <w:type w:val="nextPage"/>
          <w:pgSz w:w="11907" w:h="16840" w:orient="portrait"/>
          <w:pgMar w:top="1418" w:right="1134" w:bottom="1418" w:left="1701" w:header="851" w:footer="851" w:gutter="0"/>
          <w:pgNumType w:start="1"/>
          <w:cols w:num="1" w:sep="0" w:space="720" w:equalWidth="1"/>
          <w:docGrid w:linePitch="360"/>
        </w:sectPr>
      </w:pPr>
      <w:r>
        <w:rPr>
          <w:sz w:val="24"/>
          <w:highlight w:val="none"/>
        </w:rPr>
      </w:r>
      <w:r/>
    </w:p>
    <w:p>
      <w:pPr>
        <w:jc w:val="center"/>
        <w:spacing w:before="240" w:after="240"/>
        <w:rPr>
          <w:b/>
          <w:sz w:val="28"/>
          <w:szCs w:val="28"/>
          <w:highlight w:val="none"/>
        </w:rPr>
      </w:pPr>
      <w:r/>
      <w:bookmarkStart w:id="75" w:name="_Toc226337213"/>
      <w:r/>
      <w:bookmarkStart w:id="76" w:name="_Toc150774722"/>
      <w:r/>
      <w:bookmarkStart w:id="77" w:name="_Toc142311019"/>
      <w:r/>
      <w:bookmarkStart w:id="78" w:name="_Toc305158785"/>
      <w:r/>
      <w:bookmarkStart w:id="79" w:name="_Toc353873662"/>
      <w:r/>
      <w:bookmarkStart w:id="80" w:name="_Toc264969207"/>
      <w:r/>
      <w:bookmarkStart w:id="81" w:name="_Toc226965790"/>
      <w:r/>
      <w:bookmarkStart w:id="82" w:name="_Toc353873932"/>
      <w:r/>
      <w:bookmarkStart w:id="83" w:name="_Toc150480755"/>
      <w:r/>
      <w:bookmarkStart w:id="84" w:name="_Toc305158859"/>
      <w:r/>
      <w:bookmarkStart w:id="85" w:name="_Toc265228355"/>
      <w:r/>
      <w:bookmarkStart w:id="86" w:name="_Toc353825542"/>
      <w:r/>
      <w:bookmarkStart w:id="87" w:name="_Toc195842882"/>
      <w:r/>
      <w:bookmarkStart w:id="88" w:name="_Toc127151517"/>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846"/>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520356143"/>
      <w:r/>
      <w:bookmarkStart w:id="90" w:name="_Toc127151518"/>
      <w:r>
        <w:rPr>
          <w:rFonts w:ascii="Times New Roman" w:hAnsi="Times New Roman" w:eastAsia="宋体"/>
          <w:sz w:val="28"/>
          <w:highlight w:val="none"/>
        </w:rPr>
        <w:tab/>
      </w:r>
      <w:bookmarkStart w:id="91" w:name="_Toc305158860"/>
      <w:r/>
      <w:bookmarkStart w:id="92" w:name="_Toc151193906"/>
      <w:r/>
      <w:bookmarkStart w:id="93" w:name="_Toc226337214"/>
      <w:r/>
      <w:bookmarkStart w:id="94" w:name="_Toc151193616"/>
      <w:r/>
      <w:bookmarkStart w:id="95" w:name="_Toc150480756"/>
      <w:r/>
      <w:bookmarkStart w:id="96" w:name="_Toc265228356"/>
      <w:r/>
      <w:bookmarkStart w:id="97" w:name="_Toc305158786"/>
      <w:r/>
      <w:bookmarkStart w:id="98" w:name="_Toc264969208"/>
      <w:r/>
      <w:bookmarkStart w:id="99" w:name="_Toc226965708"/>
      <w:r/>
      <w:bookmarkStart w:id="100" w:name="_Toc226965791"/>
      <w:r/>
      <w:bookmarkStart w:id="101" w:name="_Toc226309762"/>
      <w:r/>
      <w:bookmarkStart w:id="102" w:name="_Toc151193832"/>
      <w:r/>
      <w:bookmarkStart w:id="103" w:name="_Toc151190145"/>
      <w:r/>
      <w:bookmarkStart w:id="104" w:name="_Toc150509269"/>
      <w:r/>
      <w:bookmarkStart w:id="105" w:name="_Toc150774723"/>
      <w:r/>
      <w:bookmarkStart w:id="106" w:name="_Toc151193688"/>
      <w:r/>
      <w:bookmarkStart w:id="107" w:name="_Toc195842883"/>
      <w:r/>
      <w:bookmarkStart w:id="108" w:name="_Toc150774618"/>
      <w:r/>
      <w:bookmarkStart w:id="109" w:name="_Toc142311020"/>
      <w:r/>
      <w:bookmarkStart w:id="110" w:name="_Toc151193760"/>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p>
    <w:p>
      <w:pPr>
        <w:numPr>
          <w:ilvl w:val="0"/>
          <w:numId w:val="8"/>
        </w:numPr>
        <w:ind w:left="357" w:hanging="357"/>
        <w:spacing w:line="360" w:lineRule="auto"/>
        <w:tabs>
          <w:tab w:val="left" w:pos="360" w:leader="none"/>
          <w:tab w:val="clear" w:pos="900" w:leader="none"/>
        </w:tabs>
        <w:rPr>
          <w:sz w:val="24"/>
          <w:highlight w:val="none"/>
        </w:rPr>
        <w:outlineLvl w:val="1"/>
      </w:pPr>
      <w:r/>
      <w:bookmarkStart w:id="111" w:name="_Toc264969209"/>
      <w:r/>
      <w:bookmarkStart w:id="112" w:name="_Toc305158787"/>
      <w:r/>
      <w:bookmarkStart w:id="113" w:name="_Toc265228357"/>
      <w:r/>
      <w:bookmarkStart w:id="114" w:name="_Toc305158861"/>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sz w:val="24"/>
          <w:highlight w:val="none"/>
        </w:rPr>
        <w:outlineLvl w:val="1"/>
      </w:pPr>
      <w:r/>
      <w:bookmarkStart w:id="115" w:name="_Toc226965710"/>
      <w:r/>
      <w:bookmarkStart w:id="116" w:name="_Toc150774620"/>
      <w:r/>
      <w:bookmarkStart w:id="117" w:name="_Toc150480758"/>
      <w:r/>
      <w:bookmarkStart w:id="118" w:name="_Toc226337216"/>
      <w:r/>
      <w:bookmarkStart w:id="119" w:name="_Toc264969210"/>
      <w:r/>
      <w:bookmarkStart w:id="120" w:name="_Toc127151520"/>
      <w:r/>
      <w:bookmarkStart w:id="121" w:name="_Toc265228358"/>
      <w:r/>
      <w:bookmarkStart w:id="122" w:name="_Toc142311022"/>
      <w:r/>
      <w:bookmarkStart w:id="123" w:name="_Toc305158862"/>
      <w:r/>
      <w:bookmarkStart w:id="124" w:name="_Toc164608634"/>
      <w:r/>
      <w:bookmarkStart w:id="125" w:name="_Toc164351614"/>
      <w:r/>
      <w:bookmarkStart w:id="126" w:name="_Toc151193834"/>
      <w:r/>
      <w:bookmarkStart w:id="127" w:name="_Toc127151721"/>
      <w:r/>
      <w:bookmarkStart w:id="128" w:name="_Toc150774725"/>
      <w:r/>
      <w:bookmarkStart w:id="129" w:name="_Toc226965793"/>
      <w:r/>
      <w:bookmarkStart w:id="130" w:name="_Toc151193618"/>
      <w:r/>
      <w:bookmarkStart w:id="131" w:name="_Toc151193762"/>
      <w:r/>
      <w:bookmarkStart w:id="132" w:name="_Toc164229361"/>
      <w:r/>
      <w:bookmarkStart w:id="133" w:name="_Toc151190147"/>
      <w:r/>
      <w:bookmarkStart w:id="134" w:name="_Toc195842885"/>
      <w:r/>
      <w:bookmarkStart w:id="135" w:name="_Toc164229215"/>
      <w:r/>
      <w:bookmarkStart w:id="136" w:name="_Toc150509271"/>
      <w:r/>
      <w:bookmarkStart w:id="137" w:name="_Toc151193908"/>
      <w:r/>
      <w:bookmarkStart w:id="138" w:name="_Toc305158788"/>
      <w:r/>
      <w:bookmarkStart w:id="139" w:name="_Toc226309764"/>
      <w:r/>
      <w:bookmarkStart w:id="140" w:name="_Toc151193690"/>
      <w:r/>
      <w:bookmarkStart w:id="141" w:name="_Toc127161434"/>
      <w:r/>
      <w:bookmarkStart w:id="142" w:name="_Toc149720813"/>
      <w:r/>
      <w:bookmarkStart w:id="143" w:name="_Toc164608789"/>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305158864"/>
      <w:r/>
      <w:bookmarkStart w:id="145" w:name="_Toc150774622"/>
      <w:r/>
      <w:bookmarkStart w:id="146" w:name="_Toc151193836"/>
      <w:r/>
      <w:bookmarkStart w:id="147" w:name="_Toc265228360"/>
      <w:r/>
      <w:bookmarkStart w:id="148" w:name="_Toc264969212"/>
      <w:r/>
      <w:bookmarkStart w:id="149" w:name="_Toc127151522"/>
      <w:r/>
      <w:bookmarkStart w:id="150" w:name="_Toc226965712"/>
      <w:r/>
      <w:bookmarkStart w:id="151" w:name="_Toc151193764"/>
      <w:r/>
      <w:bookmarkStart w:id="152" w:name="_Toc151193910"/>
      <w:r/>
      <w:bookmarkStart w:id="153" w:name="_Toc226337218"/>
      <w:r/>
      <w:bookmarkStart w:id="154" w:name="_Toc195842887"/>
      <w:r/>
      <w:bookmarkStart w:id="155" w:name="_Toc142311024"/>
      <w:r/>
      <w:bookmarkStart w:id="156" w:name="_Toc226309766"/>
      <w:r/>
      <w:bookmarkStart w:id="157" w:name="_Toc150480760"/>
      <w:r/>
      <w:bookmarkStart w:id="158" w:name="_Toc226965795"/>
      <w:r/>
      <w:bookmarkStart w:id="159" w:name="_Toc151193692"/>
      <w:r/>
      <w:bookmarkStart w:id="160" w:name="_Toc151193620"/>
      <w:r/>
      <w:bookmarkStart w:id="161" w:name="_Toc150509273"/>
      <w:r/>
      <w:bookmarkStart w:id="162" w:name="_Toc305158790"/>
      <w:r/>
      <w:bookmarkStart w:id="163" w:name="_Toc520356146"/>
      <w:r/>
      <w:bookmarkStart w:id="164" w:name="_Toc151190149"/>
      <w:r/>
      <w:bookmarkStart w:id="165" w:name="_Toc150774727"/>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 w:val="clear" w:pos="90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pStyle w:val="944"/>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 xml:space="preserve">》《</w:t>
      </w:r>
      <w:r>
        <w:rPr>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p>
    <w:p>
      <w:pPr>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944"/>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6" w:name="_1.8_计量单位"/>
      <w:r/>
      <w:bookmarkEnd w:id="166"/>
      <w:r/>
      <w:r/>
    </w:p>
    <w:p>
      <w:pPr>
        <w:pStyle w:val="846"/>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sz w:val="24"/>
          <w:highlight w:val="none"/>
        </w:rPr>
        <w:outlineLvl w:val="1"/>
      </w:pPr>
      <w:r/>
      <w:bookmarkStart w:id="167" w:name="_Toc226309767"/>
      <w:r/>
      <w:bookmarkStart w:id="168" w:name="_Toc164229218"/>
      <w:r/>
      <w:bookmarkStart w:id="169" w:name="_Toc164608637"/>
      <w:r/>
      <w:bookmarkStart w:id="170" w:name="_Toc226337219"/>
      <w:r/>
      <w:bookmarkStart w:id="171" w:name="_Toc150774623"/>
      <w:r/>
      <w:bookmarkStart w:id="172" w:name="_Toc264969213"/>
      <w:r/>
      <w:bookmarkStart w:id="173" w:name="_Toc151193693"/>
      <w:r/>
      <w:bookmarkStart w:id="174" w:name="_Toc151193911"/>
      <w:r/>
      <w:bookmarkStart w:id="175" w:name="_Toc164608792"/>
      <w:r/>
      <w:bookmarkStart w:id="176" w:name="_Toc151190150"/>
      <w:r/>
      <w:bookmarkStart w:id="177" w:name="_Toc305158791"/>
      <w:r/>
      <w:bookmarkStart w:id="178" w:name="_Toc305158865"/>
      <w:r/>
      <w:bookmarkStart w:id="179" w:name="_Toc164229364"/>
      <w:r/>
      <w:bookmarkStart w:id="180" w:name="_Toc226965796"/>
      <w:r/>
      <w:bookmarkStart w:id="181" w:name="_Toc149720816"/>
      <w:r/>
      <w:bookmarkStart w:id="182" w:name="_Toc195842888"/>
      <w:r/>
      <w:bookmarkStart w:id="183" w:name="_Toc151193837"/>
      <w:r/>
      <w:bookmarkStart w:id="184" w:name="_Toc151193765"/>
      <w:r/>
      <w:bookmarkStart w:id="185" w:name="_Toc127151523"/>
      <w:r/>
      <w:bookmarkStart w:id="186" w:name="_Toc142311025"/>
      <w:r/>
      <w:bookmarkStart w:id="187" w:name="_Toc150774728"/>
      <w:r/>
      <w:bookmarkStart w:id="188" w:name="_Toc265228361"/>
      <w:r/>
      <w:bookmarkStart w:id="189" w:name="_Toc150509274"/>
      <w:r/>
      <w:bookmarkStart w:id="190" w:name="_Toc164351617"/>
      <w:r/>
      <w:bookmarkStart w:id="191" w:name="_Toc151193621"/>
      <w:r/>
      <w:bookmarkStart w:id="192" w:name="_Toc127151724"/>
      <w:r/>
      <w:bookmarkStart w:id="193" w:name="_Toc127161437"/>
      <w:r/>
      <w:bookmarkStart w:id="194" w:name="_Toc520356147"/>
      <w:r/>
      <w:bookmarkStart w:id="195" w:name="_Toc226965713"/>
      <w:r/>
      <w:bookmarkStart w:id="196" w:name="_Toc150480761"/>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w:t>
      </w:r>
      <w:r>
        <w:rPr>
          <w:rFonts w:hint="eastAsia"/>
          <w:sz w:val="24"/>
          <w:highlight w:val="none"/>
        </w:rPr>
        <w:t xml:space="preserve">作出</w:t>
      </w:r>
      <w:r>
        <w:rPr>
          <w:sz w:val="24"/>
          <w:highlight w:val="none"/>
        </w:rPr>
        <w:t xml:space="preserve">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 xml:space="preserve">在采购公告发布媒体</w:t>
      </w:r>
      <w:r>
        <w:rPr>
          <w:b/>
          <w:bCs/>
          <w:sz w:val="24"/>
          <w:highlight w:val="none"/>
        </w:rPr>
        <w:t xml:space="preserve">以更正公告形式通知所有获取招标文件的潜在投标人</w:t>
      </w:r>
      <w:r>
        <w:rPr>
          <w:rFonts w:hint="eastAsia"/>
          <w:b/>
          <w:bCs/>
          <w:sz w:val="24"/>
          <w:highlight w:val="none"/>
        </w:rPr>
        <w:t xml:space="preserve">，请潜在投标人及时关注更正公告</w:t>
      </w:r>
      <w:r>
        <w:rPr>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7" w:name="_Toc516367020"/>
      <w:r/>
      <w:bookmarkStart w:id="198" w:name="_Toc142311028"/>
      <w:r/>
      <w:bookmarkStart w:id="199" w:name="_Toc264969216"/>
      <w:r/>
      <w:bookmarkStart w:id="200" w:name="_Toc226337222"/>
      <w:r/>
      <w:bookmarkStart w:id="201" w:name="_Toc150509277"/>
      <w:r/>
      <w:bookmarkStart w:id="202" w:name="_Toc151190153"/>
      <w:r/>
      <w:bookmarkStart w:id="203" w:name="_Toc151193840"/>
      <w:r/>
      <w:bookmarkStart w:id="204" w:name="_Toc226965716"/>
      <w:r/>
      <w:bookmarkStart w:id="205" w:name="_Toc520356150"/>
      <w:r/>
      <w:bookmarkStart w:id="206" w:name="_Toc151193768"/>
      <w:r/>
      <w:bookmarkStart w:id="207" w:name="_Toc305158868"/>
      <w:r/>
      <w:bookmarkStart w:id="208" w:name="_Toc151193914"/>
      <w:r/>
      <w:bookmarkStart w:id="209" w:name="_Toc151193696"/>
      <w:r/>
      <w:bookmarkStart w:id="210" w:name="_Toc127151526"/>
      <w:r/>
      <w:bookmarkStart w:id="211" w:name="_Toc150480764"/>
      <w:r/>
      <w:bookmarkStart w:id="212" w:name="_Toc226965799"/>
      <w:r/>
      <w:bookmarkStart w:id="213" w:name="_Toc265228364"/>
      <w:r/>
      <w:bookmarkStart w:id="214" w:name="_Toc151193624"/>
      <w:r/>
      <w:bookmarkStart w:id="215" w:name="_Toc150774626"/>
      <w:r/>
      <w:bookmarkStart w:id="216" w:name="_Toc305158794"/>
      <w:r/>
      <w:bookmarkStart w:id="217" w:name="_Toc150774731"/>
      <w:r/>
      <w:bookmarkStart w:id="218" w:name="_Toc226309770"/>
      <w:r/>
      <w:bookmarkStart w:id="219" w:name="_Toc195842891"/>
      <w:r/>
      <w:r/>
    </w:p>
    <w:p>
      <w:pPr>
        <w:pStyle w:val="846"/>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7"/>
      <w:r>
        <w:rPr>
          <w:rFonts w:ascii="Times New Roman" w:hAnsi="Times New Roman" w:eastAsia="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sz w:val="24"/>
          <w:highlight w:val="none"/>
        </w:rPr>
        <w:outlineLvl w:val="1"/>
      </w:pPr>
      <w:r/>
      <w:bookmarkStart w:id="220" w:name="_Toc195842892"/>
      <w:r/>
      <w:bookmarkStart w:id="221" w:name="_Toc226965717"/>
      <w:r/>
      <w:bookmarkStart w:id="222" w:name="_Toc149720820"/>
      <w:r/>
      <w:bookmarkStart w:id="223" w:name="_Toc150480765"/>
      <w:r/>
      <w:bookmarkStart w:id="224" w:name="_Toc150509278"/>
      <w:r/>
      <w:bookmarkStart w:id="225" w:name="_Toc164608796"/>
      <w:r/>
      <w:bookmarkStart w:id="226" w:name="_Toc305158869"/>
      <w:r/>
      <w:bookmarkStart w:id="227" w:name="_Toc226965800"/>
      <w:r/>
      <w:bookmarkStart w:id="228" w:name="_Toc150774627"/>
      <w:r/>
      <w:bookmarkStart w:id="229" w:name="_Toc127151527"/>
      <w:r/>
      <w:bookmarkStart w:id="230" w:name="_Toc164608641"/>
      <w:r/>
      <w:bookmarkStart w:id="231" w:name="_Toc127151728"/>
      <w:r/>
      <w:bookmarkStart w:id="232" w:name="_Toc151193841"/>
      <w:r/>
      <w:bookmarkStart w:id="233" w:name="_Toc142311029"/>
      <w:r/>
      <w:bookmarkStart w:id="234" w:name="_Toc164351621"/>
      <w:r/>
      <w:bookmarkStart w:id="235" w:name="_Toc264969217"/>
      <w:r/>
      <w:bookmarkStart w:id="236" w:name="_Toc226337223"/>
      <w:r/>
      <w:bookmarkStart w:id="237" w:name="_Toc305158795"/>
      <w:r/>
      <w:bookmarkStart w:id="238" w:name="_Toc151193625"/>
      <w:r/>
      <w:bookmarkStart w:id="239" w:name="_Toc151190154"/>
      <w:r/>
      <w:bookmarkStart w:id="240" w:name="_Toc151193769"/>
      <w:r/>
      <w:bookmarkStart w:id="241" w:name="_Toc520356151"/>
      <w:r/>
      <w:bookmarkStart w:id="242" w:name="_Toc164229368"/>
      <w:r/>
      <w:bookmarkStart w:id="243" w:name="_Toc150774732"/>
      <w:r/>
      <w:bookmarkStart w:id="244" w:name="_Toc265228365"/>
      <w:r/>
      <w:bookmarkStart w:id="245" w:name="_Toc226309771"/>
      <w:r/>
      <w:bookmarkStart w:id="246" w:name="_Toc516367021"/>
      <w:r/>
      <w:bookmarkStart w:id="247" w:name="_Toc151193697"/>
      <w:r/>
      <w:bookmarkStart w:id="248" w:name="_Toc151193915"/>
      <w:r/>
      <w:bookmarkStart w:id="249" w:name="_Toc164229222"/>
      <w:r/>
      <w:bookmarkStart w:id="250" w:name="_Toc127161441"/>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1" w:name="_Ref467306676"/>
      <w:r/>
      <w:bookmarkStart w:id="252" w:name="_Ref467306195"/>
      <w:r/>
      <w:bookmarkStart w:id="253" w:name="_Toc516367022"/>
      <w:r/>
      <w:bookmarkStart w:id="254" w:name="_Toc164229369"/>
      <w:r/>
      <w:bookmarkStart w:id="255" w:name="_Toc164608797"/>
      <w:r/>
      <w:bookmarkStart w:id="256" w:name="_Toc226309772"/>
      <w:r/>
      <w:bookmarkStart w:id="257" w:name="_Toc150480766"/>
      <w:r/>
      <w:bookmarkStart w:id="258" w:name="_Toc150509279"/>
      <w:r/>
      <w:bookmarkStart w:id="259" w:name="_Toc195842893"/>
      <w:r/>
      <w:bookmarkStart w:id="260" w:name="_Toc305158870"/>
      <w:r/>
      <w:bookmarkStart w:id="261" w:name="_Toc164229223"/>
      <w:r/>
      <w:bookmarkStart w:id="262" w:name="_Toc127151729"/>
      <w:r/>
      <w:bookmarkStart w:id="263" w:name="_Toc151193626"/>
      <w:r/>
      <w:bookmarkStart w:id="264" w:name="_Toc150774628"/>
      <w:r/>
      <w:bookmarkStart w:id="265" w:name="_Toc151193916"/>
      <w:r/>
      <w:bookmarkStart w:id="266" w:name="_Toc226965801"/>
      <w:r/>
      <w:bookmarkStart w:id="267" w:name="_Toc164351622"/>
      <w:r/>
      <w:bookmarkStart w:id="268" w:name="_Toc305158796"/>
      <w:r/>
      <w:bookmarkStart w:id="269" w:name="_Toc520356152"/>
      <w:r/>
      <w:bookmarkStart w:id="270" w:name="_Toc150774733"/>
      <w:r/>
      <w:bookmarkStart w:id="271" w:name="_Toc127161442"/>
      <w:r/>
      <w:bookmarkStart w:id="272" w:name="_Toc164608642"/>
      <w:r/>
      <w:bookmarkStart w:id="273" w:name="_Toc142311030"/>
      <w:r/>
      <w:bookmarkStart w:id="274" w:name="_Toc127151528"/>
      <w:r/>
      <w:bookmarkStart w:id="275" w:name="_Toc265228366"/>
      <w:r/>
      <w:bookmarkStart w:id="276" w:name="_Toc151193770"/>
      <w:r/>
      <w:bookmarkStart w:id="277" w:name="_Toc151190155"/>
      <w:r/>
      <w:bookmarkStart w:id="278" w:name="_Toc151193698"/>
      <w:r/>
      <w:bookmarkStart w:id="279" w:name="_Toc226965718"/>
      <w:r/>
      <w:bookmarkStart w:id="280" w:name="_Toc149720821"/>
      <w:r/>
      <w:bookmarkStart w:id="281" w:name="_Toc226337224"/>
      <w:r/>
      <w:bookmarkStart w:id="282" w:name="_Toc151193842"/>
      <w:r/>
      <w:bookmarkStart w:id="283" w:name="_Toc264969218"/>
      <w:r>
        <w:rPr>
          <w:sz w:val="24"/>
          <w:highlight w:val="none"/>
        </w:rPr>
        <w:t xml:space="preserve">投标文件</w:t>
      </w:r>
      <w:bookmarkEnd w:id="251"/>
      <w:r/>
      <w:bookmarkEnd w:id="252"/>
      <w:r/>
      <w:bookmarkEnd w:id="253"/>
      <w:r>
        <w:rPr>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sz w:val="24"/>
          <w:highlight w:val="none"/>
        </w:rPr>
        <w:outlineLvl w:val="1"/>
      </w:pPr>
      <w:r/>
      <w:bookmarkStart w:id="285" w:name="_Toc150509281"/>
      <w:r/>
      <w:bookmarkStart w:id="286" w:name="_Toc127161444"/>
      <w:r/>
      <w:bookmarkStart w:id="287" w:name="_Toc195842895"/>
      <w:r/>
      <w:bookmarkStart w:id="288" w:name="_Toc150480768"/>
      <w:r/>
      <w:bookmarkStart w:id="289" w:name="_Toc164608644"/>
      <w:r/>
      <w:bookmarkStart w:id="290" w:name="_Toc150774735"/>
      <w:r/>
      <w:bookmarkStart w:id="291" w:name="_Toc164229371"/>
      <w:r/>
      <w:bookmarkStart w:id="292" w:name="_Toc151193700"/>
      <w:r/>
      <w:bookmarkStart w:id="293" w:name="_Toc149720823"/>
      <w:r/>
      <w:bookmarkStart w:id="294" w:name="_Toc164351624"/>
      <w:r/>
      <w:bookmarkStart w:id="295" w:name="_Toc151193918"/>
      <w:r/>
      <w:bookmarkStart w:id="296" w:name="_Toc151190157"/>
      <w:r/>
      <w:bookmarkStart w:id="297" w:name="_Toc151193772"/>
      <w:r/>
      <w:bookmarkStart w:id="298" w:name="_Toc127151731"/>
      <w:r/>
      <w:bookmarkStart w:id="299" w:name="_Toc164608799"/>
      <w:r/>
      <w:bookmarkStart w:id="300" w:name="_Toc142311032"/>
      <w:r/>
      <w:bookmarkStart w:id="301" w:name="_Toc150774630"/>
      <w:r/>
      <w:bookmarkStart w:id="302" w:name="_Toc151193628"/>
      <w:r/>
      <w:bookmarkStart w:id="303" w:name="_Toc164229225"/>
      <w:r/>
      <w:bookmarkStart w:id="304" w:name="_Toc127151530"/>
      <w:r/>
      <w:bookmarkStart w:id="305" w:name="_Toc520356155"/>
      <w:r/>
      <w:bookmarkStart w:id="306" w:name="_Toc151193844"/>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07" w:name="_Ref467306513"/>
      <w:r/>
      <w:bookmarkStart w:id="308" w:name="_Toc264969221"/>
      <w:r/>
      <w:bookmarkStart w:id="309" w:name="_Toc305158799"/>
      <w:r/>
      <w:bookmarkStart w:id="310" w:name="_Toc151193845"/>
      <w:r/>
      <w:bookmarkStart w:id="311" w:name="_Toc226337227"/>
      <w:r/>
      <w:bookmarkStart w:id="312" w:name="_Toc164229372"/>
      <w:r/>
      <w:bookmarkStart w:id="313" w:name="_Toc150774736"/>
      <w:r/>
      <w:bookmarkStart w:id="314" w:name="_Toc151193629"/>
      <w:r/>
      <w:bookmarkStart w:id="315" w:name="_Toc265228369"/>
      <w:r/>
      <w:bookmarkStart w:id="316" w:name="_Toc195842896"/>
      <w:r/>
      <w:bookmarkStart w:id="317" w:name="_Toc305158873"/>
      <w:r/>
      <w:bookmarkStart w:id="318" w:name="_Toc226309775"/>
      <w:r/>
      <w:bookmarkStart w:id="319" w:name="_Toc142311033"/>
      <w:r/>
      <w:bookmarkStart w:id="320" w:name="_Toc164608645"/>
      <w:r/>
      <w:bookmarkStart w:id="321" w:name="_Toc226965721"/>
      <w:r/>
      <w:bookmarkStart w:id="322" w:name="_Toc127151732"/>
      <w:r/>
      <w:bookmarkStart w:id="323" w:name="_Toc150509282"/>
      <w:r/>
      <w:bookmarkStart w:id="324" w:name="_Toc164229226"/>
      <w:r/>
      <w:bookmarkStart w:id="325" w:name="_Toc164608800"/>
      <w:r/>
      <w:bookmarkStart w:id="326" w:name="_Toc151193701"/>
      <w:r/>
      <w:bookmarkStart w:id="327" w:name="_Toc151193919"/>
      <w:r/>
      <w:bookmarkStart w:id="328" w:name="_Toc127151531"/>
      <w:r/>
      <w:bookmarkStart w:id="329" w:name="_Toc149720824"/>
      <w:r/>
      <w:bookmarkStart w:id="330" w:name="_Toc151190158"/>
      <w:r/>
      <w:bookmarkStart w:id="331" w:name="_Toc150774631"/>
      <w:r/>
      <w:bookmarkStart w:id="332" w:name="_Toc150480769"/>
      <w:r/>
      <w:bookmarkStart w:id="333" w:name="_Toc520356156"/>
      <w:r/>
      <w:bookmarkStart w:id="334" w:name="_Toc164351625"/>
      <w:r/>
      <w:bookmarkStart w:id="335" w:name="_Toc127161445"/>
      <w:r/>
      <w:bookmarkStart w:id="336" w:name="_Toc226965804"/>
      <w:r/>
      <w:bookmarkStart w:id="337" w:name="_Toc151193773"/>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rFonts w:hint="eastAsia"/>
          <w:sz w:val="24"/>
          <w:highlight w:val="none"/>
        </w:rPr>
        <w:outlineLvl w:val="1"/>
      </w:pPr>
      <w:r>
        <w:rPr>
          <w:rFonts w:hint="eastAsia"/>
          <w:sz w:val="24"/>
          <w:highlight w:val="none"/>
          <w:lang w:val="en-US" w:eastAsia="zh-CN"/>
        </w:rPr>
        <w:t xml:space="preserve">12.1</w:t>
      </w:r>
      <w:r>
        <w:rPr>
          <w:rFonts w:hint="eastAsia"/>
          <w:sz w:val="24"/>
          <w:highlight w:val="none"/>
        </w:rPr>
        <w:t xml:space="preserve">根据江苏省和常州市的相关文件规定，免收投标保证金。</w:t>
      </w:r>
      <w:r/>
    </w:p>
    <w:p>
      <w:pPr>
        <w:ind w:left="357"/>
        <w:spacing w:line="360" w:lineRule="auto"/>
        <w:tabs>
          <w:tab w:val="left" w:pos="360" w:leader="none"/>
        </w:tabs>
        <w:rPr>
          <w:rFonts w:hint="default" w:eastAsia="宋体"/>
          <w:sz w:val="24"/>
          <w:highlight w:val="none"/>
          <w:lang w:val="en-US" w:eastAsia="zh-CN"/>
        </w:rPr>
        <w:outlineLvl w:val="1"/>
      </w:pPr>
      <w:r>
        <w:rPr>
          <w:rFonts w:hint="eastAsia"/>
          <w:sz w:val="24"/>
          <w:highlight w:val="none"/>
          <w:lang w:val="en-US" w:eastAsia="zh-CN"/>
        </w:rPr>
        <w:t xml:space="preserve">12.2履约保证金：</w:t>
      </w:r>
      <w:r>
        <w:rPr>
          <w:rFonts w:hint="eastAsia" w:ascii="宋体" w:hAnsi="宋体" w:eastAsia="宋体" w:cs="宋体"/>
          <w:b/>
          <w:bCs/>
          <w:color w:val="auto"/>
          <w:sz w:val="24"/>
          <w:szCs w:val="24"/>
          <w:highlight w:val="none"/>
          <w:lang w:val="en-US" w:eastAsia="zh-CN"/>
        </w:rPr>
        <w:t xml:space="preserve">按</w:t>
      </w:r>
      <w:r>
        <w:rPr>
          <w:rFonts w:hint="eastAsia" w:ascii="宋体" w:hAnsi="宋体" w:eastAsia="宋体" w:cs="宋体"/>
          <w:b/>
          <w:bCs/>
          <w:color w:val="auto"/>
          <w:sz w:val="24"/>
          <w:szCs w:val="24"/>
          <w:highlight w:val="none"/>
        </w:rPr>
        <w:t xml:space="preserve">中标价（年运行经费）的10%</w:t>
      </w:r>
      <w:r>
        <w:rPr>
          <w:rFonts w:hint="eastAsia" w:ascii="宋体" w:hAnsi="宋体" w:eastAsia="宋体" w:cs="宋体"/>
          <w:b/>
          <w:bCs/>
          <w:color w:val="auto"/>
          <w:sz w:val="24"/>
          <w:szCs w:val="24"/>
          <w:highlight w:val="none"/>
          <w:lang w:val="en-US" w:eastAsia="zh-CN"/>
        </w:rPr>
        <w:t xml:space="preserve">收取，中标单位须在合同签订前缴纳至采购人指定账户，</w:t>
      </w:r>
      <w:r>
        <w:rPr>
          <w:rFonts w:hint="eastAsia" w:ascii="宋体" w:hAnsi="宋体" w:eastAsia="宋体" w:cs="宋体"/>
          <w:b/>
          <w:bCs/>
          <w:color w:val="auto"/>
          <w:sz w:val="24"/>
          <w:szCs w:val="24"/>
          <w:highlight w:val="none"/>
        </w:rPr>
        <w:t xml:space="preserve">履约保证金（无息）将在</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履行完合同义务，</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收回环卫作业权完毕后7个工作日内退回乙方。</w:t>
      </w:r>
      <w:r/>
    </w:p>
    <w:p>
      <w:pPr>
        <w:numPr>
          <w:ilvl w:val="0"/>
          <w:numId w:val="8"/>
        </w:numPr>
        <w:ind w:left="357" w:hanging="357"/>
        <w:spacing w:line="360" w:lineRule="auto"/>
        <w:tabs>
          <w:tab w:val="left" w:pos="360" w:leader="none"/>
        </w:tabs>
        <w:rPr>
          <w:sz w:val="24"/>
          <w:highlight w:val="none"/>
        </w:rPr>
        <w:outlineLvl w:val="1"/>
      </w:pPr>
      <w:r/>
      <w:bookmarkStart w:id="338" w:name="_Toc151193846"/>
      <w:r/>
      <w:bookmarkStart w:id="339" w:name="_Toc265228370"/>
      <w:r/>
      <w:bookmarkStart w:id="340" w:name="_Toc149720825"/>
      <w:r/>
      <w:bookmarkStart w:id="341" w:name="_Toc264969222"/>
      <w:r/>
      <w:bookmarkStart w:id="342" w:name="_Toc305158874"/>
      <w:r/>
      <w:bookmarkStart w:id="343" w:name="_Toc164351626"/>
      <w:r/>
      <w:bookmarkStart w:id="344" w:name="_Toc151193630"/>
      <w:r/>
      <w:bookmarkStart w:id="345" w:name="_Toc151193774"/>
      <w:r/>
      <w:bookmarkStart w:id="346" w:name="_Toc226965805"/>
      <w:r/>
      <w:bookmarkStart w:id="347" w:name="_Toc164608646"/>
      <w:r/>
      <w:bookmarkStart w:id="348" w:name="_Toc127151532"/>
      <w:r/>
      <w:bookmarkStart w:id="349" w:name="_Toc142311034"/>
      <w:r/>
      <w:bookmarkStart w:id="350" w:name="_Toc127161446"/>
      <w:r/>
      <w:bookmarkStart w:id="351" w:name="_Toc164229373"/>
      <w:r/>
      <w:bookmarkStart w:id="352" w:name="_Toc226337228"/>
      <w:r/>
      <w:bookmarkStart w:id="353" w:name="_Toc226965722"/>
      <w:r/>
      <w:bookmarkStart w:id="354" w:name="_Toc226309776"/>
      <w:r/>
      <w:bookmarkStart w:id="355" w:name="_Toc164229227"/>
      <w:r/>
      <w:bookmarkStart w:id="356" w:name="_Toc195842897"/>
      <w:r/>
      <w:bookmarkStart w:id="357" w:name="_Toc164608801"/>
      <w:r/>
      <w:bookmarkStart w:id="358" w:name="_Toc150509283"/>
      <w:r/>
      <w:bookmarkStart w:id="359" w:name="_Toc127151733"/>
      <w:r/>
      <w:bookmarkStart w:id="360" w:name="_Toc150480770"/>
      <w:r/>
      <w:bookmarkStart w:id="361" w:name="_Toc151190159"/>
      <w:r/>
      <w:bookmarkStart w:id="362" w:name="_Toc150774632"/>
      <w:r/>
      <w:bookmarkStart w:id="363" w:name="_Toc151193702"/>
      <w:r/>
      <w:bookmarkStart w:id="364" w:name="_Toc305158800"/>
      <w:r/>
      <w:bookmarkStart w:id="365" w:name="_Toc150774737"/>
      <w:r/>
      <w:bookmarkStart w:id="366" w:name="_Toc151193920"/>
      <w:r/>
      <w:bookmarkStart w:id="367" w:name="_Toc520356157"/>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68" w:name="_Toc164229374"/>
      <w:r/>
      <w:bookmarkStart w:id="369" w:name="_Toc149720826"/>
      <w:r/>
      <w:bookmarkStart w:id="370" w:name="_Toc226965806"/>
      <w:r/>
      <w:bookmarkStart w:id="371" w:name="_Toc150480771"/>
      <w:r/>
      <w:bookmarkStart w:id="372" w:name="_Toc127151533"/>
      <w:r/>
      <w:bookmarkStart w:id="373" w:name="_Toc164608802"/>
      <w:r/>
      <w:bookmarkStart w:id="374" w:name="_Toc150509284"/>
      <w:r/>
      <w:bookmarkStart w:id="375" w:name="_Toc151193775"/>
      <w:r/>
      <w:bookmarkStart w:id="376" w:name="_Toc164608647"/>
      <w:r/>
      <w:bookmarkStart w:id="377" w:name="_Toc164229228"/>
      <w:r/>
      <w:bookmarkStart w:id="378" w:name="_Toc164351627"/>
      <w:r/>
      <w:bookmarkStart w:id="379" w:name="_Toc150774738"/>
      <w:r/>
      <w:bookmarkStart w:id="380" w:name="_Toc151193631"/>
      <w:r/>
      <w:bookmarkStart w:id="381" w:name="_Toc264969223"/>
      <w:r/>
      <w:bookmarkStart w:id="382" w:name="_Toc150774633"/>
      <w:r/>
      <w:bookmarkStart w:id="383" w:name="_Toc195842898"/>
      <w:r/>
      <w:bookmarkStart w:id="384" w:name="_Toc305158875"/>
      <w:r/>
      <w:bookmarkStart w:id="385" w:name="_Toc127151734"/>
      <w:r/>
      <w:bookmarkStart w:id="386" w:name="_Toc151193847"/>
      <w:r/>
      <w:bookmarkStart w:id="387" w:name="_Toc226309777"/>
      <w:r/>
      <w:bookmarkStart w:id="388" w:name="_Toc305158801"/>
      <w:r/>
      <w:bookmarkStart w:id="389" w:name="_Toc151193703"/>
      <w:r/>
      <w:bookmarkStart w:id="390" w:name="_Toc226965723"/>
      <w:r/>
      <w:bookmarkStart w:id="391" w:name="_Toc151190160"/>
      <w:r/>
      <w:bookmarkStart w:id="392" w:name="_Toc151193921"/>
      <w:r/>
      <w:bookmarkStart w:id="393" w:name="_Toc142311035"/>
      <w:r/>
      <w:bookmarkStart w:id="394" w:name="_Toc520356158"/>
      <w:r/>
      <w:bookmarkStart w:id="395" w:name="_Toc265228371"/>
      <w:r/>
      <w:bookmarkStart w:id="396" w:name="_Toc127161447"/>
      <w:r/>
      <w:bookmarkStart w:id="397" w:name="_Toc226337229"/>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398" w:name="_Toc127151534"/>
      <w:r/>
      <w:bookmarkStart w:id="399" w:name="_Toc520356159"/>
      <w:r/>
      <w:bookmarkStart w:id="400" w:name="_Toc305158876"/>
      <w:r/>
      <w:bookmarkStart w:id="401" w:name="_Toc150480772"/>
      <w:r/>
      <w:bookmarkStart w:id="402" w:name="_Toc150774739"/>
      <w:r/>
      <w:bookmarkStart w:id="403" w:name="_Toc151193922"/>
      <w:r/>
      <w:bookmarkStart w:id="404" w:name="_Toc226965807"/>
      <w:r/>
      <w:bookmarkStart w:id="405" w:name="_Toc151193704"/>
      <w:r/>
      <w:bookmarkStart w:id="406" w:name="_Toc142311036"/>
      <w:r/>
      <w:bookmarkStart w:id="407" w:name="_Toc151193776"/>
      <w:r/>
      <w:bookmarkStart w:id="408" w:name="_Toc150509285"/>
      <w:r/>
      <w:bookmarkStart w:id="409" w:name="_Toc150774634"/>
      <w:r/>
      <w:bookmarkStart w:id="410" w:name="_Toc226965724"/>
      <w:r/>
      <w:bookmarkStart w:id="411" w:name="_Toc264969224"/>
      <w:r/>
      <w:bookmarkStart w:id="412" w:name="_Toc265228372"/>
      <w:r/>
      <w:bookmarkStart w:id="413" w:name="_Toc151190161"/>
      <w:r/>
      <w:bookmarkStart w:id="414" w:name="_Toc305158802"/>
      <w:r/>
      <w:bookmarkStart w:id="415" w:name="_Toc226309778"/>
      <w:r/>
      <w:bookmarkStart w:id="416" w:name="_Toc151193848"/>
      <w:r/>
      <w:bookmarkStart w:id="417" w:name="_Toc151193632"/>
      <w:r/>
      <w:bookmarkStart w:id="418" w:name="_Toc226337230"/>
      <w:r/>
      <w:bookmarkStart w:id="419" w:name="_Toc195842899"/>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846"/>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sz w:val="24"/>
          <w:highlight w:val="none"/>
        </w:rPr>
        <w:outlineLvl w:val="1"/>
      </w:pPr>
      <w:r/>
      <w:bookmarkStart w:id="420" w:name="_Toc226965808"/>
      <w:r/>
      <w:bookmarkStart w:id="421" w:name="_Toc151193777"/>
      <w:r/>
      <w:bookmarkStart w:id="422" w:name="_Toc127151736"/>
      <w:r/>
      <w:bookmarkStart w:id="423" w:name="_Toc164608649"/>
      <w:r/>
      <w:bookmarkStart w:id="424" w:name="_Toc150774635"/>
      <w:r/>
      <w:bookmarkStart w:id="425" w:name="_Toc226337231"/>
      <w:r/>
      <w:bookmarkStart w:id="426" w:name="_Toc305158803"/>
      <w:r/>
      <w:bookmarkStart w:id="427" w:name="_Toc164608804"/>
      <w:r/>
      <w:bookmarkStart w:id="428" w:name="_Toc151190162"/>
      <w:r/>
      <w:bookmarkStart w:id="429" w:name="_Toc226309779"/>
      <w:r/>
      <w:bookmarkStart w:id="430" w:name="_Toc149720828"/>
      <w:r/>
      <w:bookmarkStart w:id="431" w:name="_Toc151193705"/>
      <w:r/>
      <w:bookmarkStart w:id="432" w:name="_Toc520356160"/>
      <w:r/>
      <w:bookmarkStart w:id="433" w:name="_Toc305158877"/>
      <w:r/>
      <w:bookmarkStart w:id="434" w:name="_Toc151193633"/>
      <w:r/>
      <w:bookmarkStart w:id="435" w:name="_Toc150774740"/>
      <w:r/>
      <w:bookmarkStart w:id="436" w:name="_Toc226965725"/>
      <w:r/>
      <w:bookmarkStart w:id="437" w:name="_Toc150509286"/>
      <w:r/>
      <w:bookmarkStart w:id="438" w:name="_Toc151193849"/>
      <w:r/>
      <w:bookmarkStart w:id="439" w:name="_Toc265228373"/>
      <w:r/>
      <w:bookmarkStart w:id="440" w:name="_Toc264969225"/>
      <w:r/>
      <w:bookmarkStart w:id="441" w:name="_Toc127161449"/>
      <w:r/>
      <w:bookmarkStart w:id="442" w:name="_Toc142311037"/>
      <w:r/>
      <w:bookmarkStart w:id="443" w:name="_Toc150480773"/>
      <w:r/>
      <w:bookmarkStart w:id="444" w:name="_Toc195842900"/>
      <w:r/>
      <w:bookmarkStart w:id="445" w:name="_Toc164351629"/>
      <w:r/>
      <w:bookmarkStart w:id="446" w:name="_Toc127151535"/>
      <w:r/>
      <w:bookmarkStart w:id="447" w:name="_Toc164229230"/>
      <w:r/>
      <w:bookmarkStart w:id="448" w:name="_Toc151193923"/>
      <w:r/>
      <w:bookmarkStart w:id="449" w:name="_Toc164229376"/>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sz w:val="24"/>
          <w:highlight w:val="none"/>
          <w:lang w:bidi="ar"/>
        </w:rPr>
        <w:t xml:space="preserve">常州市政府采购</w:t>
      </w:r>
      <w:r>
        <w:rPr>
          <w:rFonts w:hint="eastAsia"/>
          <w:sz w:val="24"/>
          <w:highlight w:val="none"/>
          <w:lang w:bidi="ar"/>
        </w:rPr>
        <w:t xml:space="preserve">业务管理</w:t>
      </w:r>
      <w:r>
        <w:rPr>
          <w:sz w:val="24"/>
          <w:highlight w:val="none"/>
          <w:lang w:bidi="ar"/>
        </w:rPr>
        <w:t xml:space="preserve">平台</w:t>
      </w:r>
      <w:r>
        <w:rPr>
          <w:sz w:val="24"/>
          <w:highlight w:val="none"/>
        </w:rPr>
        <w:t xml:space="preserve">。投标人根据招标文件及</w:t>
      </w:r>
      <w:r>
        <w:rPr>
          <w:sz w:val="24"/>
          <w:highlight w:val="none"/>
          <w:lang w:bidi="ar"/>
        </w:rPr>
        <w:t xml:space="preserve">常州市政府采购</w:t>
      </w:r>
      <w:r>
        <w:rPr>
          <w:rFonts w:hint="eastAsia"/>
          <w:sz w:val="24"/>
          <w:highlight w:val="none"/>
          <w:lang w:bidi="ar"/>
        </w:rPr>
        <w:t xml:space="preserve">业务管理</w:t>
      </w:r>
      <w:r>
        <w:rPr>
          <w:sz w:val="24"/>
          <w:highlight w:val="none"/>
          <w:lang w:bidi="ar"/>
        </w:rPr>
        <w:t xml:space="preserve">平台</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采购人及采购代理机构拒绝接受通过常州市政府采购业务管理平台以外任何形式提交的投标文件。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0" w:name="_Toc164351630"/>
      <w:r/>
      <w:bookmarkStart w:id="451" w:name="_Toc164608650"/>
      <w:r/>
      <w:bookmarkStart w:id="452" w:name="_Toc151193706"/>
      <w:r/>
      <w:bookmarkStart w:id="453" w:name="_Toc127151536"/>
      <w:r/>
      <w:bookmarkStart w:id="454" w:name="_Toc164229231"/>
      <w:r/>
      <w:bookmarkStart w:id="455" w:name="_Toc127161450"/>
      <w:r/>
      <w:bookmarkStart w:id="456" w:name="_Toc151193924"/>
      <w:r/>
      <w:bookmarkStart w:id="457" w:name="_Toc151193850"/>
      <w:r/>
      <w:bookmarkStart w:id="458" w:name="_Toc151193634"/>
      <w:r/>
      <w:bookmarkStart w:id="459" w:name="_Toc226965726"/>
      <w:r/>
      <w:bookmarkStart w:id="460" w:name="_Toc305158804"/>
      <w:r/>
      <w:bookmarkStart w:id="461" w:name="_Toc149720829"/>
      <w:r/>
      <w:bookmarkStart w:id="462" w:name="_Toc265228374"/>
      <w:r/>
      <w:bookmarkStart w:id="463" w:name="_Toc226309780"/>
      <w:r/>
      <w:bookmarkStart w:id="464" w:name="_Toc164608805"/>
      <w:r/>
      <w:bookmarkStart w:id="465" w:name="_Toc150774741"/>
      <w:r/>
      <w:bookmarkStart w:id="466" w:name="_Toc142311038"/>
      <w:r/>
      <w:bookmarkStart w:id="467" w:name="_Toc151190163"/>
      <w:r/>
      <w:bookmarkStart w:id="468" w:name="_Toc127151737"/>
      <w:r/>
      <w:bookmarkStart w:id="469" w:name="_Toc226337232"/>
      <w:r/>
      <w:bookmarkStart w:id="470" w:name="_Toc520356161"/>
      <w:r/>
      <w:bookmarkStart w:id="471" w:name="_Toc305158878"/>
      <w:r/>
      <w:bookmarkStart w:id="472" w:name="_Toc150509287"/>
      <w:r/>
      <w:bookmarkStart w:id="473" w:name="_Toc164229377"/>
      <w:r/>
      <w:bookmarkStart w:id="474" w:name="_Toc195842901"/>
      <w:r/>
      <w:bookmarkStart w:id="475" w:name="_Toc151193778"/>
      <w:r/>
      <w:bookmarkStart w:id="476" w:name="_Toc150774636"/>
      <w:r/>
      <w:bookmarkStart w:id="477" w:name="_Toc264969226"/>
      <w:r/>
      <w:bookmarkStart w:id="478" w:name="_Toc150480774"/>
      <w:r/>
      <w:bookmarkStart w:id="479" w:name="_Toc226965809"/>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投标人应在招标文件要求提交投标文件截止时间前，将电子投标文件提交至常州市政府采购业务管理平台。</w:t>
      </w:r>
      <w:r/>
    </w:p>
    <w:p>
      <w:pPr>
        <w:numPr>
          <w:ilvl w:val="0"/>
          <w:numId w:val="8"/>
        </w:numPr>
        <w:ind w:left="357" w:hanging="357"/>
        <w:spacing w:line="360" w:lineRule="auto"/>
        <w:tabs>
          <w:tab w:val="left" w:pos="360" w:leader="none"/>
        </w:tabs>
        <w:rPr>
          <w:sz w:val="24"/>
          <w:highlight w:val="none"/>
        </w:rPr>
        <w:outlineLvl w:val="1"/>
      </w:pPr>
      <w:r/>
      <w:bookmarkStart w:id="480" w:name="_Toc305158879"/>
      <w:r/>
      <w:bookmarkStart w:id="481" w:name="_Toc226965727"/>
      <w:r/>
      <w:bookmarkStart w:id="482" w:name="_Toc520356162"/>
      <w:r/>
      <w:bookmarkStart w:id="483" w:name="_Toc150774742"/>
      <w:r/>
      <w:bookmarkStart w:id="484" w:name="_Toc151190164"/>
      <w:r/>
      <w:bookmarkStart w:id="485" w:name="_Toc151193925"/>
      <w:r/>
      <w:bookmarkStart w:id="486" w:name="_Toc142311039"/>
      <w:r/>
      <w:bookmarkStart w:id="487" w:name="_Toc265228375"/>
      <w:r/>
      <w:bookmarkStart w:id="488" w:name="_Toc151193851"/>
      <w:r/>
      <w:bookmarkStart w:id="489" w:name="_Toc164229232"/>
      <w:r/>
      <w:bookmarkStart w:id="490" w:name="_Toc164229378"/>
      <w:r/>
      <w:bookmarkStart w:id="491" w:name="_Toc150480775"/>
      <w:r/>
      <w:bookmarkStart w:id="492" w:name="_Toc164351631"/>
      <w:r/>
      <w:bookmarkStart w:id="493" w:name="_Toc151193779"/>
      <w:r/>
      <w:bookmarkStart w:id="494" w:name="_Toc151193707"/>
      <w:r/>
      <w:bookmarkStart w:id="495" w:name="_Toc164608651"/>
      <w:r/>
      <w:bookmarkStart w:id="496" w:name="_Toc149720830"/>
      <w:r/>
      <w:bookmarkStart w:id="497" w:name="_Toc195842902"/>
      <w:r/>
      <w:bookmarkStart w:id="498" w:name="_Toc226309781"/>
      <w:r/>
      <w:bookmarkStart w:id="499" w:name="_Toc150509288"/>
      <w:r/>
      <w:bookmarkStart w:id="500" w:name="_Toc305158805"/>
      <w:r/>
      <w:bookmarkStart w:id="501" w:name="_Toc127161451"/>
      <w:r/>
      <w:bookmarkStart w:id="502" w:name="_Toc151193635"/>
      <w:r/>
      <w:bookmarkStart w:id="503" w:name="_Toc127151537"/>
      <w:r/>
      <w:bookmarkStart w:id="504" w:name="_Toc150774637"/>
      <w:r/>
      <w:bookmarkStart w:id="505" w:name="_Toc127151738"/>
      <w:r/>
      <w:bookmarkStart w:id="506" w:name="_Toc164608806"/>
      <w:r/>
      <w:bookmarkStart w:id="507" w:name="_Toc264969227"/>
      <w:r/>
      <w:bookmarkStart w:id="508" w:name="_Toc226965810"/>
      <w:r/>
      <w:bookmarkStart w:id="509" w:name="_Toc226337233"/>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投标截止时间前，投标人可以通过常州市政府采购业务管理平台对所提交的投标文件进行补充、修改或者撤回。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846"/>
        <w:spacing w:before="0" w:line="360" w:lineRule="auto"/>
        <w:rPr>
          <w:rFonts w:ascii="Times New Roman" w:hAnsi="Times New Roman" w:eastAsia="宋体"/>
          <w:sz w:val="28"/>
          <w:highlight w:val="none"/>
        </w:rPr>
      </w:pPr>
      <w:r/>
      <w:bookmarkStart w:id="510" w:name="_Toc226309782"/>
      <w:r/>
      <w:bookmarkStart w:id="511" w:name="_Toc151190165"/>
      <w:r/>
      <w:bookmarkStart w:id="512" w:name="_Toc195842903"/>
      <w:r/>
      <w:bookmarkStart w:id="513" w:name="_Toc305158880"/>
      <w:r/>
      <w:bookmarkStart w:id="514" w:name="_Toc264969228"/>
      <w:r/>
      <w:bookmarkStart w:id="515" w:name="_Toc226337234"/>
      <w:r/>
      <w:bookmarkStart w:id="516" w:name="_Toc151193926"/>
      <w:r/>
      <w:bookmarkStart w:id="517" w:name="_Toc305158806"/>
      <w:r/>
      <w:bookmarkStart w:id="518" w:name="_Toc151193636"/>
      <w:r/>
      <w:bookmarkStart w:id="519" w:name="_Toc151193852"/>
      <w:r/>
      <w:bookmarkStart w:id="520" w:name="_Toc265228376"/>
      <w:r/>
      <w:bookmarkStart w:id="521" w:name="_Toc151193708"/>
      <w:r/>
      <w:bookmarkStart w:id="522" w:name="_Toc127151538"/>
      <w:r/>
      <w:bookmarkStart w:id="523" w:name="_Toc226965811"/>
      <w:r/>
      <w:bookmarkStart w:id="524" w:name="_Toc150774638"/>
      <w:r/>
      <w:bookmarkStart w:id="525" w:name="_Toc150480776"/>
      <w:r/>
      <w:bookmarkStart w:id="526" w:name="_Toc150509289"/>
      <w:r/>
      <w:bookmarkStart w:id="527" w:name="_Toc150774743"/>
      <w:r/>
      <w:bookmarkStart w:id="528" w:name="_Toc151193780"/>
      <w:r/>
      <w:bookmarkStart w:id="529" w:name="_Toc226965728"/>
      <w:r/>
      <w:bookmarkStart w:id="530" w:name="_Toc520356163"/>
      <w:r/>
      <w:bookmarkStart w:id="531" w:name="_Toc142311040"/>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sz w:val="24"/>
          <w:highlight w:val="none"/>
        </w:rPr>
        <w:outlineLvl w:val="1"/>
      </w:pPr>
      <w:r/>
      <w:bookmarkStart w:id="532" w:name="_Toc305158881"/>
      <w:r/>
      <w:bookmarkStart w:id="533" w:name="_Toc151193927"/>
      <w:r/>
      <w:bookmarkStart w:id="534" w:name="_Toc127161453"/>
      <w:r/>
      <w:bookmarkStart w:id="535" w:name="_Toc226965729"/>
      <w:r/>
      <w:bookmarkStart w:id="536" w:name="_Toc150774639"/>
      <w:r/>
      <w:bookmarkStart w:id="537" w:name="_Toc151193637"/>
      <w:r/>
      <w:bookmarkStart w:id="538" w:name="_Toc150480777"/>
      <w:r/>
      <w:bookmarkStart w:id="539" w:name="_Toc226309783"/>
      <w:r/>
      <w:bookmarkStart w:id="540" w:name="_Toc520356164"/>
      <w:r/>
      <w:bookmarkStart w:id="541" w:name="_Toc226965812"/>
      <w:r/>
      <w:bookmarkStart w:id="542" w:name="_Toc142311041"/>
      <w:r/>
      <w:bookmarkStart w:id="543" w:name="_Toc164229380"/>
      <w:r/>
      <w:bookmarkStart w:id="544" w:name="_Toc149720832"/>
      <w:r/>
      <w:bookmarkStart w:id="545" w:name="_Toc195842904"/>
      <w:r/>
      <w:bookmarkStart w:id="546" w:name="_Toc226337235"/>
      <w:r/>
      <w:bookmarkStart w:id="547" w:name="_Toc151193853"/>
      <w:r/>
      <w:bookmarkStart w:id="548" w:name="_Toc164351633"/>
      <w:r/>
      <w:bookmarkStart w:id="549" w:name="_Toc150774744"/>
      <w:r/>
      <w:bookmarkStart w:id="550" w:name="_Toc264969229"/>
      <w:r/>
      <w:bookmarkStart w:id="551" w:name="_Toc151193781"/>
      <w:r/>
      <w:bookmarkStart w:id="552" w:name="_Toc164229234"/>
      <w:r/>
      <w:bookmarkStart w:id="553" w:name="_Toc305158807"/>
      <w:r/>
      <w:bookmarkStart w:id="554" w:name="_Toc164608653"/>
      <w:r/>
      <w:bookmarkStart w:id="555" w:name="_Toc127151539"/>
      <w:r/>
      <w:bookmarkStart w:id="556" w:name="_Toc265228377"/>
      <w:r/>
      <w:bookmarkStart w:id="557" w:name="_Toc151190166"/>
      <w:r/>
      <w:bookmarkStart w:id="558" w:name="_Toc164608808"/>
      <w:r/>
      <w:bookmarkStart w:id="559" w:name="_Toc127151740"/>
      <w:r/>
      <w:bookmarkStart w:id="560" w:name="_Toc150509290"/>
      <w:r/>
      <w:bookmarkStart w:id="561" w:name="_Toc151193709"/>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使用常州市政府采购业务管理平台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开标过程将使用常州市政府采购业务管理平台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。投标人超过规定时间未确认但是未提出异议的，系统将视同已确认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sz w:val="24"/>
          <w:highlight w:val="none"/>
          <w:lang w:bidi="ar"/>
        </w:rPr>
        <w:t xml:space="preserve">常州市政府采购业务管理平台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2"/>
      <w:r/>
    </w:p>
    <w:p>
      <w:pPr>
        <w:numPr>
          <w:ilvl w:val="0"/>
          <w:numId w:val="8"/>
        </w:numPr>
        <w:ind w:left="357" w:hanging="357"/>
        <w:spacing w:line="360" w:lineRule="auto"/>
        <w:tabs>
          <w:tab w:val="left" w:pos="360" w:leader="none"/>
        </w:tabs>
        <w:rPr>
          <w:sz w:val="24"/>
          <w:highlight w:val="none"/>
        </w:rPr>
        <w:outlineLvl w:val="1"/>
      </w:pPr>
      <w:r/>
      <w:bookmarkStart w:id="563" w:name="_Toc150774745"/>
      <w:r/>
      <w:bookmarkStart w:id="564" w:name="_Toc151193638"/>
      <w:r/>
      <w:bookmarkStart w:id="565" w:name="_Toc150480778"/>
      <w:r/>
      <w:bookmarkStart w:id="566" w:name="_Toc226309784"/>
      <w:r/>
      <w:bookmarkStart w:id="567" w:name="_Toc164229381"/>
      <w:r/>
      <w:bookmarkStart w:id="568" w:name="_Toc151190167"/>
      <w:r/>
      <w:bookmarkStart w:id="569" w:name="_Toc150774640"/>
      <w:r/>
      <w:bookmarkStart w:id="570" w:name="_Toc151193782"/>
      <w:r/>
      <w:bookmarkStart w:id="571" w:name="_Toc305158808"/>
      <w:r/>
      <w:bookmarkStart w:id="572" w:name="_Toc149720833"/>
      <w:r/>
      <w:bookmarkStart w:id="573" w:name="_Toc151193854"/>
      <w:r/>
      <w:bookmarkStart w:id="574" w:name="_Toc127151540"/>
      <w:r/>
      <w:bookmarkStart w:id="575" w:name="_Toc164608809"/>
      <w:r/>
      <w:bookmarkStart w:id="576" w:name="_Toc305158882"/>
      <w:r/>
      <w:bookmarkStart w:id="577" w:name="_Toc142311042"/>
      <w:r/>
      <w:bookmarkStart w:id="578" w:name="_Toc127161454"/>
      <w:r/>
      <w:bookmarkStart w:id="579" w:name="_Toc151193928"/>
      <w:r/>
      <w:bookmarkStart w:id="580" w:name="_Toc226337236"/>
      <w:r/>
      <w:bookmarkStart w:id="581" w:name="_Toc264969230"/>
      <w:r/>
      <w:bookmarkStart w:id="582" w:name="_Toc151193710"/>
      <w:r/>
      <w:bookmarkStart w:id="583" w:name="_Toc226965730"/>
      <w:r/>
      <w:bookmarkStart w:id="584" w:name="_Toc195842905"/>
      <w:r/>
      <w:bookmarkStart w:id="585" w:name="_Toc164229235"/>
      <w:r/>
      <w:bookmarkStart w:id="586" w:name="_Toc164351634"/>
      <w:r/>
      <w:bookmarkStart w:id="587" w:name="_Toc265228378"/>
      <w:r/>
      <w:bookmarkStart w:id="588" w:name="_Toc127151741"/>
      <w:r/>
      <w:bookmarkStart w:id="589" w:name="_Toc164608654"/>
      <w:r/>
      <w:bookmarkStart w:id="590" w:name="_Toc150509291"/>
      <w:r/>
      <w:bookmarkStart w:id="591" w:name="_Toc226965813"/>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846"/>
        <w:spacing w:before="0" w:line="360" w:lineRule="auto"/>
        <w:rPr>
          <w:rFonts w:ascii="Times New Roman" w:hAnsi="Times New Roman" w:eastAsia="宋体"/>
          <w:sz w:val="28"/>
          <w:highlight w:val="none"/>
        </w:rPr>
      </w:pPr>
      <w:r/>
      <w:bookmarkStart w:id="594" w:name="_Toc127151545"/>
      <w:r/>
      <w:bookmarkStart w:id="595" w:name="_Toc142311047"/>
      <w:r/>
      <w:bookmarkStart w:id="596" w:name="_Toc151193715"/>
      <w:r/>
      <w:bookmarkStart w:id="597" w:name="_Toc150480783"/>
      <w:r/>
      <w:bookmarkStart w:id="598" w:name="_Toc151193933"/>
      <w:r/>
      <w:bookmarkStart w:id="599" w:name="_Toc150774645"/>
      <w:r/>
      <w:bookmarkStart w:id="600" w:name="_Toc226965818"/>
      <w:r/>
      <w:bookmarkStart w:id="601" w:name="_Toc151193787"/>
      <w:r/>
      <w:bookmarkStart w:id="602" w:name="_Toc305158887"/>
      <w:r/>
      <w:bookmarkStart w:id="603" w:name="_Toc226965735"/>
      <w:r/>
      <w:bookmarkStart w:id="604" w:name="_Toc226309789"/>
      <w:r/>
      <w:bookmarkStart w:id="605" w:name="_Toc151193859"/>
      <w:r/>
      <w:bookmarkStart w:id="606" w:name="_Toc195842910"/>
      <w:r/>
      <w:bookmarkStart w:id="607" w:name="_Toc305158813"/>
      <w:r/>
      <w:bookmarkStart w:id="608" w:name="_Toc150774750"/>
      <w:r/>
      <w:bookmarkStart w:id="609" w:name="_Toc150509296"/>
      <w:r/>
      <w:bookmarkStart w:id="610" w:name="_Toc226337241"/>
      <w:r/>
      <w:bookmarkStart w:id="611" w:name="_Toc151193643"/>
      <w:r/>
      <w:bookmarkStart w:id="612" w:name="_Toc265228383"/>
      <w:r/>
      <w:bookmarkStart w:id="613" w:name="_Toc151190172"/>
      <w:r/>
      <w:bookmarkStart w:id="614" w:name="_Toc264969235"/>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509298"/>
      <w:r/>
      <w:bookmarkStart w:id="616" w:name="_Toc164608816"/>
      <w:r/>
      <w:bookmarkStart w:id="617" w:name="_Toc226309791"/>
      <w:r/>
      <w:bookmarkStart w:id="618" w:name="_Toc226965820"/>
      <w:r/>
      <w:bookmarkStart w:id="619" w:name="_Toc151193789"/>
      <w:r/>
      <w:bookmarkStart w:id="620" w:name="_Toc151193717"/>
      <w:r/>
      <w:bookmarkStart w:id="621" w:name="_Toc264969237"/>
      <w:r/>
      <w:bookmarkStart w:id="622" w:name="_Toc164608661"/>
      <w:r/>
      <w:bookmarkStart w:id="623" w:name="_Toc151193645"/>
      <w:r/>
      <w:bookmarkStart w:id="624" w:name="_Toc226965737"/>
      <w:r/>
      <w:bookmarkStart w:id="625" w:name="_Toc305158815"/>
      <w:r/>
      <w:bookmarkStart w:id="626" w:name="_Toc150774647"/>
      <w:r/>
      <w:bookmarkStart w:id="627" w:name="_Toc151190174"/>
      <w:r/>
      <w:bookmarkStart w:id="628" w:name="_Toc265228385"/>
      <w:r/>
      <w:bookmarkStart w:id="629" w:name="_Toc226337243"/>
      <w:r/>
      <w:bookmarkStart w:id="630" w:name="_Toc164229388"/>
      <w:r/>
      <w:bookmarkStart w:id="631" w:name="_Toc142311049"/>
      <w:r/>
      <w:bookmarkStart w:id="632" w:name="_Toc164351641"/>
      <w:r/>
      <w:bookmarkStart w:id="633" w:name="_Toc164229242"/>
      <w:r/>
      <w:bookmarkStart w:id="634" w:name="_Toc150774752"/>
      <w:r/>
      <w:bookmarkStart w:id="635" w:name="_Toc195842912"/>
      <w:r/>
      <w:bookmarkStart w:id="636" w:name="_Toc305158889"/>
      <w:r/>
      <w:bookmarkStart w:id="637" w:name="_Toc151193935"/>
      <w:r/>
      <w:bookmarkStart w:id="638" w:name="_Toc127151748"/>
      <w:r/>
      <w:bookmarkStart w:id="639" w:name="_Toc150480785"/>
      <w:r/>
      <w:bookmarkStart w:id="640" w:name="_Toc127151547"/>
      <w:r/>
      <w:bookmarkStart w:id="641" w:name="_Toc149720840"/>
      <w:r/>
      <w:bookmarkStart w:id="642" w:name="_Toc151193861"/>
      <w:r/>
      <w:bookmarkStart w:id="643" w:name="_Toc127161461"/>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4" w:name="_Toc305158891"/>
      <w:r/>
      <w:bookmarkStart w:id="645" w:name="_Toc305158817"/>
      <w:r/>
      <w:bookmarkStart w:id="646" w:name="_Toc151193647"/>
      <w:r/>
      <w:bookmarkStart w:id="647" w:name="_Toc127151549"/>
      <w:r/>
      <w:bookmarkStart w:id="648" w:name="_Toc151190176"/>
      <w:r/>
      <w:bookmarkStart w:id="649" w:name="_Toc151193863"/>
      <w:r/>
      <w:bookmarkStart w:id="650" w:name="_Toc164229390"/>
      <w:r/>
      <w:bookmarkStart w:id="651" w:name="_Toc150480787"/>
      <w:r/>
      <w:bookmarkStart w:id="652" w:name="_Toc164351643"/>
      <w:r/>
      <w:bookmarkStart w:id="653" w:name="_Toc149720842"/>
      <w:r/>
      <w:bookmarkStart w:id="654" w:name="_Toc127161463"/>
      <w:r/>
      <w:bookmarkStart w:id="655" w:name="_Toc195842914"/>
      <w:r/>
      <w:bookmarkStart w:id="656" w:name="_Toc226309793"/>
      <w:r/>
      <w:bookmarkStart w:id="657" w:name="_Toc226965739"/>
      <w:r/>
      <w:bookmarkStart w:id="658" w:name="_Toc150774649"/>
      <w:r/>
      <w:bookmarkStart w:id="659" w:name="_Toc164608663"/>
      <w:r/>
      <w:bookmarkStart w:id="660" w:name="_Toc164608818"/>
      <w:r/>
      <w:bookmarkStart w:id="661" w:name="_Toc151193791"/>
      <w:r/>
      <w:bookmarkStart w:id="662" w:name="_Toc127151750"/>
      <w:r/>
      <w:bookmarkStart w:id="663" w:name="_Toc226965822"/>
      <w:r/>
      <w:bookmarkStart w:id="664" w:name="_Toc142311051"/>
      <w:r/>
      <w:bookmarkStart w:id="665" w:name="_Toc151193719"/>
      <w:r/>
      <w:bookmarkStart w:id="666" w:name="_Toc150509300"/>
      <w:r/>
      <w:bookmarkStart w:id="667" w:name="_Toc264969239"/>
      <w:r/>
      <w:bookmarkStart w:id="668" w:name="_Toc265228387"/>
      <w:r/>
      <w:bookmarkStart w:id="669" w:name="_Toc150774754"/>
      <w:r/>
      <w:bookmarkStart w:id="670" w:name="_Toc164229244"/>
      <w:r/>
      <w:bookmarkStart w:id="671" w:name="_Toc151193937"/>
      <w:r/>
      <w:bookmarkStart w:id="672" w:name="_Toc226337245"/>
      <w:r/>
      <w:bookmarkStart w:id="673" w:name="_Ref467306425"/>
      <w:r/>
      <w:bookmarkStart w:id="674" w:name="_Toc520356176"/>
      <w:r/>
      <w:bookmarkStart w:id="675" w:name="_Ref467307090"/>
      <w:r>
        <w:rPr>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sz w:val="24"/>
          <w:highlight w:val="none"/>
        </w:rPr>
        <w:t xml:space="preserve">在</w:t>
      </w:r>
      <w:r>
        <w:rPr>
          <w:rFonts w:hint="eastAsia"/>
          <w:sz w:val="24"/>
          <w:highlight w:val="none"/>
        </w:rPr>
        <w:t xml:space="preserve">常州市政府采购网</w:t>
      </w:r>
      <w:r>
        <w:rPr>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8"/>
        </w:numPr>
        <w:ind w:left="357" w:hanging="357"/>
        <w:spacing w:line="360" w:lineRule="auto"/>
        <w:tabs>
          <w:tab w:val="left" w:pos="360" w:leader="none"/>
        </w:tabs>
        <w:rPr>
          <w:sz w:val="24"/>
          <w:highlight w:val="none"/>
        </w:rPr>
        <w:outlineLvl w:val="1"/>
      </w:pPr>
      <w:r/>
      <w:bookmarkStart w:id="676" w:name="_Ref467307204"/>
      <w:r/>
      <w:bookmarkStart w:id="677" w:name="_Toc151193792"/>
      <w:r/>
      <w:bookmarkStart w:id="678" w:name="_Toc142311052"/>
      <w:r/>
      <w:bookmarkStart w:id="679" w:name="_Toc150480788"/>
      <w:r/>
      <w:bookmarkStart w:id="680" w:name="_Toc195842915"/>
      <w:r/>
      <w:bookmarkStart w:id="681" w:name="_Toc127151550"/>
      <w:r/>
      <w:bookmarkStart w:id="682" w:name="_Toc226337246"/>
      <w:r/>
      <w:bookmarkStart w:id="683" w:name="_Ref467306978"/>
      <w:r/>
      <w:bookmarkStart w:id="684" w:name="_Toc151193648"/>
      <w:r/>
      <w:bookmarkStart w:id="685" w:name="_Toc127161464"/>
      <w:r/>
      <w:bookmarkStart w:id="686" w:name="_Toc264969240"/>
      <w:r/>
      <w:bookmarkStart w:id="687" w:name="_Toc226965740"/>
      <w:r/>
      <w:bookmarkStart w:id="688" w:name="_Toc164351644"/>
      <w:r/>
      <w:bookmarkStart w:id="689" w:name="_Ref467306377"/>
      <w:r/>
      <w:bookmarkStart w:id="690" w:name="_Toc164229391"/>
      <w:r/>
      <w:bookmarkStart w:id="691" w:name="_Ref467307062"/>
      <w:r/>
      <w:bookmarkStart w:id="692" w:name="_Toc226309794"/>
      <w:r/>
      <w:bookmarkStart w:id="693" w:name="_Toc127151751"/>
      <w:r/>
      <w:bookmarkStart w:id="694" w:name="_Toc151193864"/>
      <w:r/>
      <w:bookmarkStart w:id="695" w:name="_Toc305158892"/>
      <w:r/>
      <w:bookmarkStart w:id="696" w:name="_Toc150509301"/>
      <w:r/>
      <w:bookmarkStart w:id="697" w:name="_Toc151193720"/>
      <w:r/>
      <w:bookmarkStart w:id="698" w:name="_Toc150774755"/>
      <w:r/>
      <w:bookmarkStart w:id="699" w:name="_Toc164608664"/>
      <w:r/>
      <w:bookmarkStart w:id="700" w:name="_Toc226965823"/>
      <w:r/>
      <w:bookmarkStart w:id="701" w:name="_Toc305158818"/>
      <w:r/>
      <w:bookmarkStart w:id="702" w:name="_Toc520356175"/>
      <w:r/>
      <w:bookmarkStart w:id="703" w:name="_Toc151190177"/>
      <w:r/>
      <w:bookmarkStart w:id="704" w:name="_Toc149720843"/>
      <w:r/>
      <w:bookmarkStart w:id="705" w:name="_Toc151193938"/>
      <w:r/>
      <w:bookmarkStart w:id="706" w:name="_Toc150774650"/>
      <w:r/>
      <w:bookmarkStart w:id="707" w:name="_Toc265228388"/>
      <w:r/>
      <w:bookmarkStart w:id="708" w:name="_Toc164608819"/>
      <w:r/>
      <w:bookmarkStart w:id="709" w:name="_Toc164229245"/>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3"/>
      <w:bookmarkEnd w:id="674"/>
      <w:bookmarkEnd w:id="675"/>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896"/>
          <w:color w:val="auto"/>
          <w:highlight w:val="none"/>
        </w:rPr>
        <w:t xml:space="preserve">http://gk</w:t>
      </w:r>
      <w:bookmarkStart w:id="710" w:name="_Hlt100654014"/>
      <w:r>
        <w:rPr>
          <w:rStyle w:val="896"/>
          <w:color w:val="auto"/>
          <w:highlight w:val="none"/>
        </w:rPr>
        <w:t xml:space="preserve">s</w:t>
      </w:r>
      <w:bookmarkEnd w:id="710"/>
      <w:r>
        <w:rPr>
          <w:rStyle w:val="896"/>
          <w:color w:val="auto"/>
          <w:highlight w:val="none"/>
        </w:rPr>
        <w:t xml:space="preserve">.m</w:t>
      </w:r>
      <w:bookmarkStart w:id="711" w:name="_Hlt100653993"/>
      <w:r/>
      <w:bookmarkStart w:id="712" w:name="_Hlt100653994"/>
      <w:r>
        <w:rPr>
          <w:rStyle w:val="896"/>
          <w:color w:val="auto"/>
          <w:highlight w:val="none"/>
        </w:rPr>
        <w:t xml:space="preserve">o</w:t>
      </w:r>
      <w:bookmarkEnd w:id="711"/>
      <w:r/>
      <w:bookmarkEnd w:id="712"/>
      <w:r>
        <w:rPr>
          <w:rStyle w:val="896"/>
          <w:color w:val="auto"/>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采购代理服务费开票方式：江苏增值税普通发票。</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3" w:name="_Toc353873934"/>
      <w:r/>
      <w:bookmarkStart w:id="714" w:name="_Toc264969244"/>
      <w:r/>
      <w:bookmarkStart w:id="715" w:name="_Toc226337250"/>
      <w:r/>
      <w:bookmarkStart w:id="716" w:name="_Toc226965827"/>
      <w:r/>
      <w:bookmarkStart w:id="717" w:name="_Toc142311056"/>
      <w:r/>
      <w:bookmarkStart w:id="718" w:name="_Toc150480792"/>
      <w:r/>
      <w:bookmarkStart w:id="719" w:name="_Toc127151554"/>
      <w:r/>
      <w:bookmarkStart w:id="720" w:name="_Toc353873664"/>
      <w:r/>
      <w:bookmarkStart w:id="721" w:name="_Toc305158896"/>
      <w:r/>
      <w:bookmarkStart w:id="722" w:name="_Toc265228392"/>
      <w:r/>
      <w:bookmarkStart w:id="723" w:name="_Toc305158822"/>
      <w:r/>
      <w:bookmarkStart w:id="724" w:name="_Toc150774759"/>
      <w:r/>
      <w:bookmarkStart w:id="725" w:name="_Toc353825544"/>
      <w:r>
        <w:rPr>
          <w:sz w:val="24"/>
          <w:highlight w:val="none"/>
        </w:rPr>
        <w:br w:type="page" w:clear="all"/>
      </w:r>
      <w:bookmarkStart w:id="726" w:name="_Toc99301421"/>
      <w:r>
        <w:rPr>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8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jc w:val="center"/>
              <w:tabs>
                <w:tab w:val="left" w:pos="1080" w:leader="none"/>
              </w:tabs>
              <w:rPr>
                <w:b/>
                <w:sz w:val="24"/>
                <w:highlight w:val="none"/>
              </w:rPr>
            </w:pPr>
            <w:r/>
            <w:bookmarkStart w:id="729" w:name="_Hlt487972895"/>
            <w:r/>
            <w:bookmarkEnd w:id="729"/>
            <w:r>
              <w:rPr>
                <w:b/>
                <w:sz w:val="24"/>
                <w:highlight w:val="none"/>
              </w:rPr>
              <w:t xml:space="preserve">序号</w:t>
            </w:r>
            <w:r/>
          </w:p>
        </w:tc>
        <w:tc>
          <w:tcPr>
            <w:tcW w:w="1066" w:type="pct"/>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pct"/>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pct"/>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6" w:type="pct"/>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6" w:type="pct"/>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5" w:type="pct"/>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6" w:type="pct"/>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5" w:type="pct"/>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6" w:type="pct"/>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6" w:type="pct"/>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5" w:type="pct"/>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1"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6" w:type="pct"/>
            <w:vAlign w:val="center"/>
            <w:textDirection w:val="lrTb"/>
            <w:noWrap w:val="false"/>
          </w:tcPr>
          <w:p>
            <w:pPr>
              <w:tabs>
                <w:tab w:val="left" w:pos="1080" w:leader="none"/>
              </w:tabs>
              <w:rPr>
                <w:sz w:val="24"/>
                <w:highlight w:val="none"/>
              </w:rPr>
            </w:pPr>
            <w:r>
              <w:rPr>
                <w:rFonts w:hint="eastAsia"/>
                <w:sz w:val="24"/>
                <w:highlight w:val="none"/>
              </w:rPr>
              <w:t xml:space="preserve">其他</w:t>
            </w:r>
            <w:r>
              <w:rPr>
                <w:sz w:val="24"/>
                <w:highlight w:val="none"/>
              </w:rPr>
              <w:t xml:space="preserve">落实政府采购政策的资格要求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6" w:type="pct"/>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6" w:type="pct"/>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2595" w:type="pct"/>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6" w:type="pct"/>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sz w:val="24"/>
          <w:highlight w:val="none"/>
        </w:rPr>
      </w:pPr>
      <w:r/>
      <w:bookmarkStart w:id="730" w:name="_Toc127151779"/>
      <w:r/>
      <w:bookmarkStart w:id="731" w:name="_Toc353825550"/>
      <w:r/>
      <w:bookmarkStart w:id="732" w:name="_Toc127161490"/>
      <w:r/>
      <w:bookmarkStart w:id="733" w:name="_Toc226965858"/>
      <w:r/>
      <w:bookmarkStart w:id="734" w:name="_Toc353873940"/>
      <w:r>
        <w:rPr>
          <w:sz w:val="24"/>
          <w:highlight w:val="none"/>
        </w:rPr>
        <w:br w:type="page" w:clear="all"/>
      </w:r>
      <w:r/>
    </w:p>
    <w:p>
      <w:pPr>
        <w:jc w:val="center"/>
        <w:spacing w:line="360" w:lineRule="auto"/>
        <w:rPr>
          <w:b/>
          <w:sz w:val="36"/>
          <w:szCs w:val="36"/>
          <w:highlight w:val="none"/>
        </w:rPr>
        <w:outlineLvl w:val="0"/>
      </w:pPr>
      <w:r/>
      <w:bookmarkStart w:id="735" w:name="_Toc99301423"/>
      <w:r>
        <w:rPr>
          <w:b/>
          <w:sz w:val="36"/>
          <w:szCs w:val="36"/>
          <w:highlight w:val="none"/>
        </w:rPr>
        <w:t xml:space="preserve">第四章   </w:t>
      </w:r>
      <w:bookmarkEnd w:id="730"/>
      <w:r/>
      <w:bookmarkEnd w:id="731"/>
      <w:r/>
      <w:bookmarkEnd w:id="732"/>
      <w:r/>
      <w:bookmarkEnd w:id="733"/>
      <w:r/>
      <w:bookmarkEnd w:id="734"/>
      <w:r/>
      <w:bookmarkStart w:id="736" w:name="_Hlt164229061"/>
      <w:r/>
      <w:bookmarkEnd w:id="736"/>
      <w:r>
        <w:rPr>
          <w:b/>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37" w:name="_Toc150509292"/>
      <w:r/>
      <w:bookmarkStart w:id="738" w:name="_Toc305158809"/>
      <w:r/>
      <w:bookmarkStart w:id="739" w:name="_Toc265228379"/>
      <w:r/>
      <w:bookmarkStart w:id="740" w:name="_Toc151190168"/>
      <w:r/>
      <w:bookmarkStart w:id="741" w:name="_Toc149720834"/>
      <w:r/>
      <w:bookmarkStart w:id="742" w:name="_Toc164608655"/>
      <w:r/>
      <w:bookmarkStart w:id="743" w:name="_Toc164351635"/>
      <w:r/>
      <w:bookmarkStart w:id="744" w:name="_Toc150480779"/>
      <w:r/>
      <w:bookmarkStart w:id="745" w:name="_Toc164608810"/>
      <w:r/>
      <w:bookmarkStart w:id="746" w:name="_Toc226965814"/>
      <w:r/>
      <w:bookmarkStart w:id="747" w:name="_Toc127161455"/>
      <w:r/>
      <w:bookmarkStart w:id="748" w:name="_Toc264969231"/>
      <w:r/>
      <w:bookmarkStart w:id="749" w:name="_Toc151193783"/>
      <w:r/>
      <w:bookmarkStart w:id="750" w:name="_Toc150774641"/>
      <w:r/>
      <w:bookmarkStart w:id="751" w:name="_Toc151193855"/>
      <w:r/>
      <w:bookmarkStart w:id="752" w:name="_Toc195842906"/>
      <w:r/>
      <w:bookmarkStart w:id="753" w:name="_Toc150774746"/>
      <w:r/>
      <w:bookmarkStart w:id="754" w:name="_Toc151193711"/>
      <w:r/>
      <w:bookmarkStart w:id="755" w:name="_Toc127151742"/>
      <w:r/>
      <w:bookmarkStart w:id="756" w:name="_Toc142311043"/>
      <w:r/>
      <w:bookmarkStart w:id="757" w:name="_Toc164229236"/>
      <w:r/>
      <w:bookmarkStart w:id="758" w:name="_Toc127151541"/>
      <w:r/>
      <w:bookmarkStart w:id="759" w:name="_Toc226309785"/>
      <w:r/>
      <w:bookmarkStart w:id="760" w:name="_Toc226337237"/>
      <w:r/>
      <w:bookmarkStart w:id="761" w:name="_Toc305158883"/>
      <w:r/>
      <w:bookmarkStart w:id="762" w:name="_Toc164229382"/>
      <w:r/>
      <w:bookmarkStart w:id="763" w:name="_Toc151193639"/>
      <w:r/>
      <w:bookmarkStart w:id="764" w:name="_Toc226965731"/>
      <w:r/>
      <w:bookmarkStart w:id="765" w:name="_Toc151193929"/>
      <w:r/>
      <w:bookmarkStart w:id="766" w:name="_Toc353825551"/>
      <w:r/>
      <w:bookmarkStart w:id="767" w:name="_Toc353873941"/>
      <w:r/>
      <w:bookmarkStart w:id="768" w:name="_Toc265228393"/>
      <w:r/>
      <w:bookmarkStart w:id="769" w:name="_Toc226337251"/>
      <w:r/>
      <w:bookmarkStart w:id="770" w:name="_Toc142311057"/>
      <w:r/>
      <w:bookmarkStart w:id="771" w:name="_Toc305158823"/>
      <w:r/>
      <w:bookmarkStart w:id="772" w:name="_Toc353873665"/>
      <w:r/>
      <w:bookmarkStart w:id="773" w:name="_Toc305158897"/>
      <w:r/>
      <w:bookmarkStart w:id="774" w:name="_Toc127151555"/>
      <w:r/>
      <w:bookmarkStart w:id="775" w:name="_Toc195842920"/>
      <w:r/>
      <w:bookmarkStart w:id="776" w:name="_Toc353825545"/>
      <w:r/>
      <w:bookmarkStart w:id="777" w:name="_Toc264969245"/>
      <w:r/>
      <w:bookmarkStart w:id="778" w:name="_Toc150480793"/>
      <w:r/>
      <w:bookmarkStart w:id="779" w:name="_Toc150774760"/>
      <w:r/>
      <w:bookmarkStart w:id="780" w:name="_Toc226965828"/>
      <w:r/>
      <w:bookmarkStart w:id="781" w:name="_Toc353873935"/>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8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highlight w:val="none"/>
              </w:rPr>
            </w:pPr>
            <w:r>
              <w:rPr>
                <w:b/>
                <w:sz w:val="24"/>
                <w:highlight w:val="none"/>
              </w:rPr>
              <w:t xml:space="preserve">序号</w:t>
            </w:r>
            <w:r/>
          </w:p>
        </w:tc>
        <w:tc>
          <w:tcPr>
            <w:tcW w:w="976" w:type="pct"/>
            <w:vAlign w:val="center"/>
            <w:textDirection w:val="lrTb"/>
            <w:noWrap w:val="false"/>
          </w:tcPr>
          <w:p>
            <w:pPr>
              <w:jc w:val="center"/>
              <w:widowControl/>
              <w:rPr>
                <w:b/>
                <w:sz w:val="24"/>
                <w:highlight w:val="none"/>
              </w:rPr>
            </w:pPr>
            <w:r>
              <w:rPr>
                <w:b/>
                <w:sz w:val="24"/>
                <w:highlight w:val="none"/>
              </w:rPr>
              <w:t xml:space="preserve">审查因素</w:t>
            </w:r>
            <w:r/>
          </w:p>
        </w:tc>
        <w:tc>
          <w:tcPr>
            <w:tcW w:w="3620" w:type="pct"/>
            <w:vAlign w:val="center"/>
            <w:textDirection w:val="lrTb"/>
            <w:noWrap w:val="false"/>
          </w:tcPr>
          <w:p>
            <w:pPr>
              <w:jc w:val="center"/>
              <w:widowControl/>
              <w:rPr>
                <w:b/>
                <w:sz w:val="24"/>
                <w:highlight w:val="none"/>
              </w:rPr>
            </w:pPr>
            <w:r>
              <w:rPr>
                <w:b/>
                <w:sz w:val="24"/>
                <w:highlight w:val="none"/>
              </w:rPr>
              <w:t xml:space="preserve">审查内容</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w:t>
            </w:r>
            <w:r/>
          </w:p>
        </w:tc>
        <w:tc>
          <w:tcPr>
            <w:tcW w:w="976" w:type="pct"/>
            <w:vAlign w:val="center"/>
            <w:textDirection w:val="lrTb"/>
            <w:noWrap w:val="false"/>
          </w:tcPr>
          <w:p>
            <w:pPr>
              <w:jc w:val="left"/>
              <w:widowControl/>
              <w:rPr>
                <w:sz w:val="24"/>
                <w:highlight w:val="none"/>
              </w:rPr>
            </w:pPr>
            <w:r>
              <w:rPr>
                <w:rFonts w:hint="eastAsia"/>
                <w:sz w:val="24"/>
                <w:highlight w:val="none"/>
              </w:rPr>
              <w:t xml:space="preserve">投标函、</w:t>
            </w:r>
            <w:r>
              <w:rPr>
                <w:rFonts w:hint="eastAsia"/>
                <w:sz w:val="24"/>
                <w:highlight w:val="none"/>
              </w:rPr>
              <w:t xml:space="preserve">法定代表人资格证明书和政府采购供应商信用承诺书</w:t>
            </w:r>
            <w:r/>
          </w:p>
        </w:tc>
        <w:tc>
          <w:tcPr>
            <w:tcW w:w="3620" w:type="pct"/>
            <w:vAlign w:val="center"/>
            <w:textDirection w:val="lrTb"/>
            <w:noWrap w:val="false"/>
          </w:tcPr>
          <w:p>
            <w:pPr>
              <w:jc w:val="left"/>
              <w:widowControl/>
              <w:rPr>
                <w:sz w:val="24"/>
                <w:highlight w:val="none"/>
              </w:rPr>
            </w:pPr>
            <w:r>
              <w:rPr>
                <w:sz w:val="24"/>
                <w:highlight w:val="none"/>
              </w:rPr>
              <w:t xml:space="preserve">按招标文件要求提供</w:t>
            </w:r>
            <w:r>
              <w:rPr>
                <w:rFonts w:hint="eastAsia"/>
                <w:sz w:val="24"/>
                <w:highlight w:val="none"/>
              </w:rPr>
              <w:t xml:space="preserve">投标函、</w:t>
            </w:r>
            <w:r>
              <w:rPr>
                <w:rFonts w:hint="eastAsia"/>
                <w:sz w:val="24"/>
                <w:highlight w:val="none"/>
              </w:rPr>
              <w:t xml:space="preserve">法定代表人资格证明书和政府采购供应商信用承诺书</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2</w:t>
            </w:r>
            <w:r/>
          </w:p>
        </w:tc>
        <w:tc>
          <w:tcPr>
            <w:tcW w:w="976" w:type="pct"/>
            <w:vAlign w:val="center"/>
            <w:textDirection w:val="lrTb"/>
            <w:noWrap w:val="false"/>
          </w:tcPr>
          <w:p>
            <w:pPr>
              <w:jc w:val="left"/>
              <w:widowControl/>
              <w:rPr>
                <w:sz w:val="24"/>
                <w:highlight w:val="none"/>
              </w:rPr>
            </w:pPr>
            <w:r>
              <w:rPr>
                <w:sz w:val="24"/>
                <w:highlight w:val="none"/>
              </w:rPr>
              <w:t xml:space="preserve">投标完整性</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3</w:t>
            </w:r>
            <w:r/>
          </w:p>
        </w:tc>
        <w:tc>
          <w:tcPr>
            <w:tcW w:w="976" w:type="pct"/>
            <w:vAlign w:val="center"/>
            <w:textDirection w:val="lrTb"/>
            <w:noWrap w:val="false"/>
          </w:tcPr>
          <w:p>
            <w:pPr>
              <w:jc w:val="left"/>
              <w:widowControl/>
              <w:rPr>
                <w:sz w:val="24"/>
                <w:highlight w:val="none"/>
              </w:rPr>
            </w:pPr>
            <w:r>
              <w:rPr>
                <w:sz w:val="24"/>
                <w:highlight w:val="none"/>
              </w:rPr>
              <w:t xml:space="preserve">投标报价</w:t>
            </w:r>
            <w:r/>
          </w:p>
        </w:tc>
        <w:tc>
          <w:tcPr>
            <w:tcW w:w="3620" w:type="pct"/>
            <w:vAlign w:val="center"/>
            <w:textDirection w:val="lrTb"/>
            <w:noWrap w:val="false"/>
          </w:tcPr>
          <w:p>
            <w:pPr>
              <w:jc w:val="left"/>
              <w:widowControl/>
              <w:rPr>
                <w:sz w:val="24"/>
                <w:highlight w:val="none"/>
              </w:rPr>
            </w:pPr>
            <w:r>
              <w:rPr>
                <w:sz w:val="24"/>
                <w:highlight w:val="none"/>
              </w:rPr>
              <w:t xml:space="preserve">投标报价</w:t>
            </w:r>
            <w:r>
              <w:rPr>
                <w:rFonts w:hint="eastAsia"/>
                <w:sz w:val="24"/>
                <w:highlight w:val="none"/>
              </w:rPr>
              <w:t xml:space="preserve">未</w:t>
            </w:r>
            <w:r>
              <w:rPr>
                <w:sz w:val="24"/>
                <w:highlight w:val="none"/>
              </w:rPr>
              <w:t xml:space="preserve">超过招标文件中规定的项目/采购包预算金额或者项目/采购包最高限价</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4</w:t>
            </w:r>
            <w:r/>
          </w:p>
        </w:tc>
        <w:tc>
          <w:tcPr>
            <w:tcW w:w="976" w:type="pct"/>
            <w:vAlign w:val="center"/>
            <w:textDirection w:val="lrTb"/>
            <w:noWrap w:val="false"/>
          </w:tcPr>
          <w:p>
            <w:pPr>
              <w:jc w:val="left"/>
              <w:widowControl/>
              <w:rPr>
                <w:sz w:val="24"/>
                <w:highlight w:val="none"/>
              </w:rPr>
            </w:pPr>
            <w:r>
              <w:rPr>
                <w:sz w:val="24"/>
                <w:highlight w:val="none"/>
              </w:rPr>
              <w:t xml:space="preserve">报价唯一性</w:t>
            </w:r>
            <w:r/>
          </w:p>
        </w:tc>
        <w:tc>
          <w:tcPr>
            <w:tcW w:w="3620"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rFonts w:hint="eastAsia"/>
                <w:sz w:val="24"/>
                <w:highlight w:val="none"/>
              </w:rPr>
              <w:t xml:space="preserve">出现可选择性或可调整的报价（招标文件另有规定的除外）</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5</w:t>
            </w:r>
            <w:r/>
          </w:p>
        </w:tc>
        <w:tc>
          <w:tcPr>
            <w:tcW w:w="976" w:type="pct"/>
            <w:vAlign w:val="center"/>
            <w:textDirection w:val="lrTb"/>
            <w:noWrap w:val="false"/>
          </w:tcPr>
          <w:p>
            <w:pPr>
              <w:jc w:val="left"/>
              <w:widowControl/>
              <w:rPr>
                <w:sz w:val="24"/>
                <w:highlight w:val="none"/>
              </w:rPr>
            </w:pPr>
            <w:r>
              <w:rPr>
                <w:sz w:val="24"/>
                <w:highlight w:val="none"/>
              </w:rPr>
              <w:t xml:space="preserve">投标有效期</w:t>
            </w:r>
            <w:r/>
          </w:p>
        </w:tc>
        <w:tc>
          <w:tcPr>
            <w:tcW w:w="3620" w:type="pct"/>
            <w:vAlign w:val="center"/>
            <w:textDirection w:val="lrTb"/>
            <w:noWrap w:val="false"/>
          </w:tcPr>
          <w:p>
            <w:pPr>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6</w:t>
            </w:r>
            <w:r/>
          </w:p>
        </w:tc>
        <w:tc>
          <w:tcPr>
            <w:tcW w:w="976" w:type="pct"/>
            <w:vAlign w:val="center"/>
            <w:textDirection w:val="lrTb"/>
            <w:noWrap w:val="false"/>
          </w:tcPr>
          <w:p>
            <w:pPr>
              <w:jc w:val="left"/>
              <w:widowControl/>
              <w:rPr>
                <w:sz w:val="24"/>
                <w:highlight w:val="none"/>
              </w:rPr>
            </w:pPr>
            <w:r>
              <w:rPr>
                <w:sz w:val="24"/>
                <w:highlight w:val="none"/>
              </w:rPr>
              <w:t xml:space="preserve">签署、加盖公章</w:t>
            </w:r>
            <w:r/>
          </w:p>
        </w:tc>
        <w:tc>
          <w:tcPr>
            <w:tcW w:w="3620" w:type="pct"/>
            <w:vAlign w:val="center"/>
            <w:textDirection w:val="lrTb"/>
            <w:noWrap w:val="false"/>
          </w:tcPr>
          <w:p>
            <w:pPr>
              <w:jc w:val="left"/>
              <w:widowControl/>
              <w:rPr>
                <w:sz w:val="24"/>
                <w:highlight w:val="none"/>
              </w:rPr>
            </w:pPr>
            <w:r>
              <w:rPr>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highlight w:val="none"/>
              </w:rPr>
            </w:pPr>
            <w:r>
              <w:rPr>
                <w:rFonts w:hint="eastAsia"/>
                <w:sz w:val="24"/>
                <w:highlight w:val="none"/>
              </w:rPr>
              <w:t xml:space="preserve">7</w:t>
            </w:r>
            <w:r/>
          </w:p>
        </w:tc>
        <w:tc>
          <w:tcPr>
            <w:tcW w:w="976" w:type="pct"/>
            <w:vAlign w:val="center"/>
            <w:textDirection w:val="lrTb"/>
            <w:noWrap w:val="false"/>
          </w:tcPr>
          <w:p>
            <w:pPr>
              <w:jc w:val="left"/>
              <w:widowControl/>
              <w:rPr>
                <w:sz w:val="24"/>
                <w:highlight w:val="none"/>
              </w:rPr>
            </w:pPr>
            <w:r>
              <w:rPr>
                <w:rFonts w:hint="eastAsia"/>
                <w:sz w:val="24"/>
                <w:highlight w:val="none"/>
              </w:rPr>
              <w:t xml:space="preserve">实质性格式</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8</w:t>
            </w:r>
            <w:r/>
          </w:p>
        </w:tc>
        <w:tc>
          <w:tcPr>
            <w:tcW w:w="976" w:type="pct"/>
            <w:vAlign w:val="center"/>
            <w:textDirection w:val="lrTb"/>
            <w:noWrap w:val="false"/>
          </w:tcPr>
          <w:p>
            <w:pPr>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p>
        </w:tc>
        <w:tc>
          <w:tcPr>
            <w:tcW w:w="3620" w:type="pct"/>
            <w:vAlign w:val="center"/>
            <w:textDirection w:val="lrTb"/>
            <w:noWrap w:val="false"/>
          </w:tcPr>
          <w:p>
            <w:pPr>
              <w:jc w:val="left"/>
              <w:widowControl/>
              <w:rPr>
                <w:sz w:val="24"/>
                <w:highlight w:val="none"/>
              </w:rPr>
            </w:pPr>
            <w:r>
              <w:rPr>
                <w:sz w:val="24"/>
                <w:highlight w:val="none"/>
              </w:rPr>
              <w:t xml:space="preserve">投标文件满足招标文件</w:t>
            </w:r>
            <w:r>
              <w:rPr>
                <w:sz w:val="24"/>
                <w:highlight w:val="none"/>
              </w:rPr>
              <w:t xml:space="preserve">第五章《采购需求》</w:t>
            </w:r>
            <w:r>
              <w:rPr>
                <w:sz w:val="24"/>
                <w:highlight w:val="none"/>
              </w:rPr>
              <w:t xml:space="preserve">中</w:t>
            </w:r>
            <w:r>
              <w:rPr>
                <w:rFonts w:ascii="Segoe UI Symbol" w:hAnsi="Segoe UI Symbol" w:cs="Segoe UI Symbol"/>
                <w:sz w:val="24"/>
                <w:highlight w:val="none"/>
              </w:rPr>
              <w:t xml:space="preserve">★</w:t>
            </w:r>
            <w:r>
              <w:rPr>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9</w:t>
            </w:r>
            <w:r/>
          </w:p>
        </w:tc>
        <w:tc>
          <w:tcPr>
            <w:tcW w:w="976" w:type="pct"/>
            <w:vAlign w:val="center"/>
            <w:textDirection w:val="lrTb"/>
            <w:noWrap w:val="false"/>
          </w:tcPr>
          <w:p>
            <w:pPr>
              <w:jc w:val="left"/>
              <w:widowControl/>
              <w:rPr>
                <w:sz w:val="24"/>
                <w:highlight w:val="none"/>
              </w:rPr>
            </w:pPr>
            <w:r>
              <w:rPr>
                <w:sz w:val="24"/>
                <w:highlight w:val="none"/>
              </w:rPr>
              <w:t xml:space="preserve">分包承担主体资质（如有）</w:t>
            </w:r>
            <w:r/>
          </w:p>
        </w:tc>
        <w:tc>
          <w:tcPr>
            <w:tcW w:w="3620" w:type="pct"/>
            <w:vAlign w:val="center"/>
            <w:textDirection w:val="lrTb"/>
            <w:noWrap w:val="false"/>
          </w:tcPr>
          <w:p>
            <w:pPr>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10</w:t>
            </w:r>
            <w:r/>
          </w:p>
        </w:tc>
        <w:tc>
          <w:tcPr>
            <w:tcW w:w="976" w:type="pct"/>
            <w:vAlign w:val="center"/>
            <w:textDirection w:val="lrTb"/>
            <w:noWrap w:val="false"/>
          </w:tcPr>
          <w:p>
            <w:pPr>
              <w:jc w:val="left"/>
              <w:widowControl/>
              <w:rPr>
                <w:sz w:val="24"/>
                <w:highlight w:val="none"/>
              </w:rPr>
            </w:pPr>
            <w:r>
              <w:rPr>
                <w:sz w:val="24"/>
                <w:highlight w:val="none"/>
              </w:rPr>
              <w:t xml:space="preserve">分包意向协议</w:t>
            </w:r>
            <w:r/>
          </w:p>
          <w:p>
            <w:pPr>
              <w:jc w:val="left"/>
              <w:widowControl/>
              <w:rPr>
                <w:sz w:val="24"/>
                <w:highlight w:val="none"/>
              </w:rPr>
            </w:pPr>
            <w:r>
              <w:rPr>
                <w:sz w:val="24"/>
                <w:highlight w:val="none"/>
              </w:rPr>
              <w:t xml:space="preserve">（如有）</w:t>
            </w:r>
            <w:r/>
          </w:p>
        </w:tc>
        <w:tc>
          <w:tcPr>
            <w:tcW w:w="3620" w:type="pct"/>
            <w:vAlign w:val="center"/>
            <w:textDirection w:val="lrTb"/>
            <w:noWrap w:val="false"/>
          </w:tcPr>
          <w:p>
            <w:pPr>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11</w:t>
            </w:r>
            <w:r/>
          </w:p>
        </w:tc>
        <w:tc>
          <w:tcPr>
            <w:tcW w:w="976" w:type="pct"/>
            <w:vAlign w:val="center"/>
            <w:textDirection w:val="lrTb"/>
            <w:noWrap w:val="false"/>
          </w:tcPr>
          <w:p>
            <w:pPr>
              <w:jc w:val="center"/>
              <w:widowControl/>
              <w:rPr>
                <w:sz w:val="24"/>
                <w:highlight w:val="none"/>
              </w:rPr>
            </w:pPr>
            <w:r>
              <w:rPr>
                <w:sz w:val="24"/>
                <w:highlight w:val="none"/>
              </w:rPr>
              <w:t xml:space="preserve">报价的修正（如有）</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12</w:t>
            </w:r>
            <w:r/>
          </w:p>
        </w:tc>
        <w:tc>
          <w:tcPr>
            <w:tcW w:w="976" w:type="pct"/>
            <w:vAlign w:val="center"/>
            <w:textDirection w:val="lrTb"/>
            <w:noWrap w:val="false"/>
          </w:tcPr>
          <w:p>
            <w:pPr>
              <w:jc w:val="center"/>
              <w:widowControl/>
              <w:rPr>
                <w:sz w:val="24"/>
                <w:highlight w:val="none"/>
              </w:rPr>
            </w:pPr>
            <w:r>
              <w:rPr>
                <w:sz w:val="24"/>
                <w:highlight w:val="none"/>
              </w:rPr>
              <w:t xml:space="preserve">报价合理性</w:t>
            </w:r>
            <w:r/>
          </w:p>
        </w:tc>
        <w:tc>
          <w:tcPr>
            <w:tcW w:w="3620" w:type="pct"/>
            <w:vAlign w:val="center"/>
            <w:textDirection w:val="lrTb"/>
            <w:noWrap w:val="false"/>
          </w:tcPr>
          <w:p>
            <w:pPr>
              <w:jc w:val="left"/>
              <w:widowControl/>
              <w:rPr>
                <w:sz w:val="24"/>
                <w:highlight w:val="none"/>
              </w:rPr>
            </w:pPr>
            <w:r>
              <w:rPr>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13</w:t>
            </w:r>
            <w:r/>
          </w:p>
        </w:tc>
        <w:tc>
          <w:tcPr>
            <w:tcW w:w="976" w:type="pct"/>
            <w:vAlign w:val="center"/>
            <w:textDirection w:val="lrTb"/>
            <w:noWrap w:val="false"/>
          </w:tcPr>
          <w:p>
            <w:pPr>
              <w:jc w:val="center"/>
              <w:widowControl/>
              <w:rPr>
                <w:sz w:val="24"/>
                <w:highlight w:val="none"/>
              </w:rPr>
            </w:pPr>
            <w:r>
              <w:rPr>
                <w:sz w:val="24"/>
                <w:highlight w:val="none"/>
              </w:rPr>
              <w:t xml:space="preserve">进口产品</w:t>
            </w:r>
            <w:r/>
          </w:p>
          <w:p>
            <w:pPr>
              <w:jc w:val="center"/>
              <w:widowControl/>
              <w:rPr>
                <w:sz w:val="24"/>
                <w:highlight w:val="none"/>
              </w:rPr>
            </w:pPr>
            <w:r>
              <w:rPr>
                <w:sz w:val="24"/>
                <w:highlight w:val="none"/>
              </w:rPr>
              <w:t xml:space="preserve">（如有）</w:t>
            </w:r>
            <w:r/>
          </w:p>
        </w:tc>
        <w:tc>
          <w:tcPr>
            <w:tcW w:w="3620" w:type="pct"/>
            <w:vAlign w:val="center"/>
            <w:textDirection w:val="lrTb"/>
            <w:noWrap w:val="false"/>
          </w:tcPr>
          <w:p>
            <w:pPr>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14</w:t>
            </w:r>
            <w:r/>
          </w:p>
        </w:tc>
        <w:tc>
          <w:tcPr>
            <w:tcW w:w="976" w:type="pct"/>
            <w:vAlign w:val="center"/>
            <w:textDirection w:val="lrTb"/>
            <w:noWrap w:val="false"/>
          </w:tcPr>
          <w:p>
            <w:pPr>
              <w:jc w:val="center"/>
              <w:widowControl/>
              <w:rPr>
                <w:sz w:val="24"/>
                <w:highlight w:val="none"/>
              </w:rPr>
            </w:pPr>
            <w:r>
              <w:rPr>
                <w:sz w:val="21"/>
                <w:szCs w:val="21"/>
                <w:highlight w:val="none"/>
              </w:rPr>
              <w:t xml:space="preserve">国家有关部门对投标人的投标产品有强制性规定或要求的</w:t>
            </w:r>
            <w:r/>
          </w:p>
        </w:tc>
        <w:tc>
          <w:tcPr>
            <w:tcW w:w="3620" w:type="pct"/>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p>
          <w:p>
            <w:pPr>
              <w:jc w:val="left"/>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w:t>
            </w:r>
            <w:r>
              <w:rPr>
                <w:rFonts w:hint="eastAsia"/>
                <w:sz w:val="24"/>
                <w:highlight w:val="none"/>
                <w:lang w:eastAsia="zh-CN"/>
              </w:rPr>
              <w:t xml:space="preserve">购的</w:t>
            </w:r>
            <w:r>
              <w:rPr>
                <w:sz w:val="24"/>
                <w:highlight w:val="none"/>
              </w:rPr>
              <w:t xml:space="preserve">产品，则投标人所报产品必须获得国家确定的认证机构出具的、处于有效期之内的节能产品认证证书；</w:t>
            </w:r>
            <w:r/>
          </w:p>
          <w:p>
            <w:pPr>
              <w:jc w:val="left"/>
              <w:widowControl/>
              <w:rPr>
                <w:sz w:val="24"/>
                <w:highlight w:val="none"/>
              </w:rPr>
            </w:pPr>
            <w:r>
              <w:rPr>
                <w:rFonts w:hint="eastAsia"/>
                <w:sz w:val="24"/>
                <w:highlight w:val="none"/>
              </w:rPr>
              <w:t xml:space="preserve">2）</w:t>
            </w:r>
            <w:r>
              <w:rPr>
                <w:sz w:val="24"/>
                <w:highlight w:val="none"/>
              </w:rPr>
              <w:t xml:space="preserve">投标产品如涉及计算机信息系统安全专用产品的，须</w:t>
            </w:r>
            <w:r>
              <w:rPr>
                <w:rFonts w:hint="eastAsia"/>
                <w:sz w:val="24"/>
                <w:highlight w:val="none"/>
              </w:rPr>
              <w:t xml:space="preserve">提供</w:t>
            </w:r>
            <w:r>
              <w:rPr>
                <w:sz w:val="24"/>
                <w:highlight w:val="none"/>
              </w:rPr>
              <w:t xml:space="preserve">公安部颁发的计算机信息系统安全专用产品销售许可证；</w:t>
            </w:r>
            <w:r/>
          </w:p>
          <w:p>
            <w:pPr>
              <w:jc w:val="left"/>
              <w:widowControl/>
              <w:rPr>
                <w:sz w:val="24"/>
                <w:highlight w:val="none"/>
              </w:rPr>
            </w:pPr>
            <w:r>
              <w:rPr>
                <w:sz w:val="24"/>
                <w:highlight w:val="none"/>
              </w:rPr>
              <w:t xml:space="preserve">3</w:t>
            </w:r>
            <w:r>
              <w:rPr>
                <w:rFonts w:hint="eastAsia"/>
                <w:sz w:val="24"/>
                <w:highlight w:val="none"/>
              </w:rPr>
              <w:t xml:space="preserve">）</w:t>
            </w:r>
            <w:r>
              <w:rPr>
                <w:sz w:val="24"/>
                <w:highlight w:val="none"/>
              </w:rPr>
              <w:t xml:space="preserve">投标产品如有属于开展国家信息安全产品认证产品范围的，须</w:t>
            </w:r>
            <w:r>
              <w:rPr>
                <w:rFonts w:hint="eastAsia"/>
                <w:sz w:val="24"/>
                <w:highlight w:val="none"/>
              </w:rPr>
              <w:t xml:space="preserve">提供</w:t>
            </w:r>
            <w:r>
              <w:rPr>
                <w:sz w:val="24"/>
                <w:highlight w:val="none"/>
              </w:rPr>
              <w:t xml:space="preserve">由中国网络安全审查技术与认证中心（原中国信息安全认证中心）按国家标准认证颁发的有效认证证书等）；</w:t>
            </w:r>
            <w:r/>
          </w:p>
          <w:p>
            <w:pPr>
              <w:jc w:val="left"/>
              <w:widowControl/>
              <w:rPr>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15</w:t>
            </w:r>
            <w:r/>
          </w:p>
        </w:tc>
        <w:tc>
          <w:tcPr>
            <w:tcW w:w="976" w:type="pct"/>
            <w:vAlign w:val="center"/>
            <w:textDirection w:val="lrTb"/>
            <w:noWrap w:val="false"/>
          </w:tcPr>
          <w:p>
            <w:pPr>
              <w:jc w:val="center"/>
              <w:widowControl/>
              <w:rPr>
                <w:sz w:val="24"/>
                <w:highlight w:val="none"/>
              </w:rPr>
            </w:pPr>
            <w:r>
              <w:rPr>
                <w:sz w:val="24"/>
                <w:highlight w:val="none"/>
              </w:rPr>
              <w:t xml:space="preserve">公平竞争</w:t>
            </w:r>
            <w:r/>
          </w:p>
        </w:tc>
        <w:tc>
          <w:tcPr>
            <w:tcW w:w="3620" w:type="pct"/>
            <w:vAlign w:val="center"/>
            <w:textDirection w:val="lrTb"/>
            <w:noWrap w:val="false"/>
          </w:tcPr>
          <w:p>
            <w:pPr>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16</w:t>
            </w:r>
            <w:r/>
          </w:p>
        </w:tc>
        <w:tc>
          <w:tcPr>
            <w:tcW w:w="976" w:type="pct"/>
            <w:vAlign w:val="center"/>
            <w:textDirection w:val="lrTb"/>
            <w:noWrap w:val="false"/>
          </w:tcPr>
          <w:p>
            <w:pPr>
              <w:jc w:val="center"/>
              <w:widowControl/>
              <w:rPr>
                <w:sz w:val="24"/>
                <w:highlight w:val="none"/>
              </w:rPr>
            </w:pPr>
            <w:r>
              <w:rPr>
                <w:sz w:val="24"/>
                <w:highlight w:val="none"/>
              </w:rPr>
              <w:t xml:space="preserve">串通投标</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17</w:t>
            </w:r>
            <w:r/>
          </w:p>
        </w:tc>
        <w:tc>
          <w:tcPr>
            <w:tcW w:w="976" w:type="pct"/>
            <w:vAlign w:val="center"/>
            <w:textDirection w:val="lrTb"/>
            <w:noWrap w:val="false"/>
          </w:tcPr>
          <w:p>
            <w:pPr>
              <w:jc w:val="center"/>
              <w:widowControl/>
              <w:rPr>
                <w:sz w:val="24"/>
                <w:highlight w:val="none"/>
              </w:rPr>
            </w:pPr>
            <w:r>
              <w:rPr>
                <w:sz w:val="24"/>
                <w:highlight w:val="none"/>
              </w:rPr>
              <w:t xml:space="preserve">附加条件</w:t>
            </w:r>
            <w:r/>
          </w:p>
        </w:tc>
        <w:tc>
          <w:tcPr>
            <w:tcW w:w="3620"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highlight w:val="none"/>
              </w:rPr>
            </w:pPr>
            <w:r>
              <w:rPr>
                <w:rFonts w:hint="eastAsia"/>
                <w:sz w:val="24"/>
                <w:highlight w:val="none"/>
              </w:rPr>
              <w:t xml:space="preserve">1</w:t>
            </w:r>
            <w:r>
              <w:rPr>
                <w:sz w:val="24"/>
                <w:highlight w:val="none"/>
              </w:rPr>
              <w:t xml:space="preserve">8</w:t>
            </w:r>
            <w:r/>
          </w:p>
        </w:tc>
        <w:tc>
          <w:tcPr>
            <w:tcW w:w="976" w:type="pct"/>
            <w:vAlign w:val="center"/>
            <w:textDirection w:val="lrTb"/>
            <w:noWrap w:val="false"/>
          </w:tcPr>
          <w:p>
            <w:pPr>
              <w:jc w:val="center"/>
              <w:widowControl/>
              <w:rPr>
                <w:sz w:val="24"/>
                <w:highlight w:val="none"/>
              </w:rPr>
            </w:pPr>
            <w:r>
              <w:rPr>
                <w:sz w:val="24"/>
                <w:highlight w:val="none"/>
              </w:rPr>
              <w:t xml:space="preserve">其他无效情形</w:t>
            </w:r>
            <w:r/>
          </w:p>
        </w:tc>
        <w:tc>
          <w:tcPr>
            <w:tcW w:w="3620" w:type="pct"/>
            <w:vAlign w:val="center"/>
            <w:textDirection w:val="lrTb"/>
            <w:noWrap w:val="false"/>
          </w:tcPr>
          <w:p>
            <w:pPr>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w:t>
            </w:r>
            <w:r>
              <w:rPr>
                <w:rFonts w:hint="eastAsia"/>
                <w:sz w:val="24"/>
                <w:highlight w:val="none"/>
              </w:rPr>
              <w:t xml:space="preserve">法律法规</w:t>
            </w:r>
            <w:r>
              <w:rPr>
                <w:sz w:val="24"/>
                <w:highlight w:val="none"/>
              </w:rPr>
              <w:t xml:space="preserve">和招标文件规定的其他无效情形。</w:t>
            </w:r>
            <w:r/>
          </w:p>
        </w:tc>
      </w:tr>
    </w:tbl>
    <w:p>
      <w:pPr>
        <w:numPr>
          <w:ilvl w:val="0"/>
          <w:numId w:val="13"/>
        </w:numPr>
        <w:spacing w:line="360" w:lineRule="auto"/>
        <w:tabs>
          <w:tab w:val="left" w:pos="1080" w:leader="none"/>
          <w:tab w:val="left" w:pos="1589" w:leader="none"/>
        </w:tabs>
        <w:rPr>
          <w:sz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highlight w:val="none"/>
        </w:rPr>
      </w:r>
      <w:r/>
    </w:p>
    <w:p>
      <w:pPr>
        <w:numPr>
          <w:ilvl w:val="0"/>
          <w:numId w:val="12"/>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sz w:val="24"/>
          <w:highlight w:val="none"/>
        </w:rPr>
        <w:t xml:space="preserve">常州市政府采购业务管理平台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rFonts w:ascii="Wingdings 2" w:hAnsi="Wingdings 2" w:eastAsia="Wingdings 2" w:cs="Wingdings 2"/>
          <w:sz w:val="24"/>
          <w:highlight w:val="none"/>
        </w:rPr>
        <w:t xml:space="preserve">£</w:t>
      </w: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clear" w:pos="1980"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sz w:val="24"/>
          <w:highlight w:val="none"/>
        </w:rPr>
        <w:outlineLvl w:val="1"/>
      </w:pPr>
      <w:r>
        <w:rPr>
          <w:sz w:val="24"/>
          <w:highlight w:val="none"/>
        </w:rPr>
        <w:t xml:space="preserve">投标文件的比较和评价</w:t>
      </w:r>
      <w:bookmarkEnd w:id="766"/>
      <w:r/>
      <w:bookmarkEnd w:id="7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w:t>
      </w:r>
      <w:r>
        <w:rPr>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ascii="Wingdings 2" w:hAnsi="Wingdings 2" w:eastAsia="Wingdings 2" w:cs="Wingdings 2"/>
          <w:sz w:val="24"/>
          <w:highlight w:val="none"/>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rFonts w:ascii="Wingdings 2" w:hAnsi="Wingdings 2" w:eastAsia="Wingdings 2" w:cs="Wingdings 2"/>
          <w:sz w:val="24"/>
          <w:highlight w:val="none"/>
        </w:rPr>
        <w:t xml:space="preserve">£</w:t>
      </w:r>
      <w:r>
        <w:rPr>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关于无线局域网认证产品政府采购清单中的产品，优先采购的具体规定（如涉及）_____。</w:t>
      </w:r>
      <w:r/>
    </w:p>
    <w:p>
      <w:pPr>
        <w:numPr>
          <w:ilvl w:val="0"/>
          <w:numId w:val="12"/>
        </w:numPr>
        <w:spacing w:line="360" w:lineRule="auto"/>
        <w:tabs>
          <w:tab w:val="left" w:pos="360" w:leader="none"/>
        </w:tabs>
        <w:rPr>
          <w:sz w:val="24"/>
          <w:highlight w:val="none"/>
        </w:rPr>
        <w:outlineLvl w:val="1"/>
      </w:pPr>
      <w:r>
        <w:rPr>
          <w:sz w:val="24"/>
          <w:highlight w:val="none"/>
        </w:rPr>
        <w:t xml:space="preserve">确定</w:t>
      </w:r>
      <w:bookmarkStart w:id="783" w:name="_Ref467307010"/>
      <w:r/>
      <w:bookmarkStart w:id="784" w:name="_Toc164229241"/>
      <w:r/>
      <w:bookmarkStart w:id="785" w:name="_Toc305158888"/>
      <w:r/>
      <w:bookmarkStart w:id="786" w:name="_Toc150774646"/>
      <w:r/>
      <w:bookmarkStart w:id="787" w:name="_Toc142311048"/>
      <w:r/>
      <w:bookmarkStart w:id="788" w:name="_Toc149720839"/>
      <w:r/>
      <w:bookmarkStart w:id="789" w:name="_Toc264969236"/>
      <w:r/>
      <w:bookmarkStart w:id="790" w:name="_Toc164351640"/>
      <w:r/>
      <w:bookmarkStart w:id="791" w:name="_Toc151193860"/>
      <w:r/>
      <w:bookmarkStart w:id="792" w:name="_Toc127151546"/>
      <w:r/>
      <w:bookmarkStart w:id="793" w:name="_Toc164608660"/>
      <w:r/>
      <w:bookmarkStart w:id="794" w:name="_Toc520356170"/>
      <w:r/>
      <w:bookmarkStart w:id="795" w:name="_Toc151193644"/>
      <w:r/>
      <w:bookmarkStart w:id="796" w:name="_Toc265228384"/>
      <w:r/>
      <w:bookmarkStart w:id="797" w:name="_Toc150774751"/>
      <w:r/>
      <w:bookmarkStart w:id="798" w:name="_Toc164229387"/>
      <w:r/>
      <w:bookmarkStart w:id="799" w:name="_Toc151190173"/>
      <w:r/>
      <w:bookmarkStart w:id="800" w:name="_Toc226337242"/>
      <w:r/>
      <w:bookmarkStart w:id="801" w:name="_Toc150480784"/>
      <w:r/>
      <w:bookmarkStart w:id="802" w:name="_Toc226309790"/>
      <w:r/>
      <w:bookmarkStart w:id="803" w:name="_Toc127161460"/>
      <w:r/>
      <w:bookmarkStart w:id="804" w:name="_Toc127151747"/>
      <w:r/>
      <w:bookmarkStart w:id="805" w:name="_Toc150509297"/>
      <w:r/>
      <w:bookmarkStart w:id="806" w:name="_Toc164608815"/>
      <w:r/>
      <w:bookmarkStart w:id="807" w:name="_Toc151193788"/>
      <w:r/>
      <w:bookmarkStart w:id="808" w:name="_Toc195842911"/>
      <w:r/>
      <w:bookmarkStart w:id="809" w:name="_Toc305158814"/>
      <w:r/>
      <w:bookmarkStart w:id="810" w:name="_Toc226965736"/>
      <w:r/>
      <w:bookmarkStart w:id="811" w:name="_Toc151193934"/>
      <w:r/>
      <w:bookmarkStart w:id="812" w:name="_Toc226965819"/>
      <w:r/>
      <w:bookmarkStart w:id="813" w:name="_Toc151193716"/>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69"/>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hint="default" w:ascii="Times New Roman" w:hAnsi="Times New Roman"/>
          <w:sz w:val="24"/>
          <w:szCs w:val="24"/>
          <w:highlight w:val="none"/>
        </w:rPr>
        <w:t xml:space="preserve">□随机抽取</w:t>
      </w:r>
      <w:r/>
    </w:p>
    <w:p>
      <w:pPr>
        <w:pStyle w:val="869"/>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ascii="Wingdings 2" w:hAnsi="Wingdings 2" w:eastAsia="Wingdings 2" w:cs="Wingdings 2"/>
          <w:sz w:val="24"/>
          <w:szCs w:val="24"/>
          <w:highlight w:val="none"/>
        </w:rPr>
        <w:t xml:space="preserve">R</w:t>
      </w:r>
      <w:r>
        <w:rPr>
          <w:rFonts w:hint="default"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投标评标价</w:t>
      </w:r>
      <w:r>
        <w:rPr>
          <w:rFonts w:hint="default" w:ascii="Times New Roman" w:hAnsi="Times New Roman"/>
          <w:sz w:val="24"/>
          <w:szCs w:val="24"/>
          <w:highlight w:val="none"/>
          <w:u w:val="single"/>
        </w:rPr>
        <w:t xml:space="preserve">最低的</w:t>
      </w:r>
      <w:r>
        <w:rPr>
          <w:rFonts w:ascii="Times New Roman" w:hAnsi="Times New Roman"/>
          <w:sz w:val="24"/>
          <w:szCs w:val="24"/>
          <w:highlight w:val="none"/>
          <w:u w:val="single"/>
        </w:rPr>
        <w:t xml:space="preserve">供应商</w:t>
      </w:r>
      <w:r>
        <w:rPr>
          <w:rFonts w:hint="default" w:ascii="Times New Roman" w:hAnsi="Times New Roman"/>
          <w:sz w:val="24"/>
          <w:szCs w:val="24"/>
          <w:highlight w:val="none"/>
          <w:u w:val="single"/>
        </w:rPr>
        <w:t xml:space="preserve">获得中标人推荐资格。</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b/>
          <w:sz w:val="24"/>
          <w:highlight w:val="none"/>
        </w:rPr>
      </w:r>
      <w:r/>
    </w:p>
    <w:p>
      <w:pPr>
        <w:jc w:val="center"/>
        <w:spacing w:line="360" w:lineRule="auto"/>
        <w:tabs>
          <w:tab w:val="left" w:pos="360" w:leader="none"/>
          <w:tab w:val="left" w:pos="900" w:leader="none"/>
        </w:tabs>
        <w:rPr>
          <w:b/>
          <w:highlight w:val="none"/>
        </w:rPr>
        <w:outlineLvl w:val="1"/>
      </w:pPr>
      <w:r>
        <w:rPr>
          <w:b/>
          <w:sz w:val="24"/>
          <w:highlight w:val="none"/>
        </w:rPr>
        <w:t xml:space="preserve">二、评标标准</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232"/>
        <w:gridCol w:w="757"/>
        <w:gridCol w:w="8638"/>
        <w:gridCol w:w="2887"/>
      </w:tblGrid>
      <w:tr>
        <w:trPr>
          <w:trHeight w:val="293"/>
        </w:trPr>
        <w:tc>
          <w:tcPr>
            <w:tcW w:w="706" w:type="dxa"/>
            <w:vAlign w:val="center"/>
            <w:textDirection w:val="lrTb"/>
            <w:noWrap w:val="false"/>
          </w:tcPr>
          <w:p>
            <w:pPr>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序号</w:t>
            </w:r>
            <w:r/>
          </w:p>
        </w:tc>
        <w:tc>
          <w:tcPr>
            <w:tcW w:w="1232" w:type="dxa"/>
            <w:vAlign w:val="center"/>
            <w:textDirection w:val="lrTb"/>
            <w:noWrap w:val="false"/>
          </w:tcPr>
          <w:p>
            <w:pPr>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评分因素</w:t>
            </w:r>
            <w:r/>
          </w:p>
        </w:tc>
        <w:tc>
          <w:tcPr>
            <w:tcW w:w="757" w:type="dxa"/>
            <w:vAlign w:val="center"/>
            <w:textDirection w:val="lrTb"/>
            <w:noWrap w:val="false"/>
          </w:tcPr>
          <w:p>
            <w:pPr>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分值</w:t>
            </w:r>
            <w:r/>
          </w:p>
        </w:tc>
        <w:tc>
          <w:tcPr>
            <w:tcW w:w="8638" w:type="dxa"/>
            <w:vAlign w:val="center"/>
            <w:textDirection w:val="lrTb"/>
            <w:noWrap w:val="false"/>
          </w:tcPr>
          <w:p>
            <w:pPr>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评分标准</w:t>
            </w:r>
            <w:r/>
          </w:p>
        </w:tc>
        <w:tc>
          <w:tcPr>
            <w:tcW w:w="2887" w:type="dxa"/>
            <w:vAlign w:val="center"/>
            <w:textDirection w:val="lrTb"/>
            <w:noWrap w:val="false"/>
          </w:tcPr>
          <w:p>
            <w:pPr>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说明</w:t>
            </w:r>
            <w:r/>
          </w:p>
        </w:tc>
      </w:tr>
      <w:tr>
        <w:trPr/>
        <w:tc>
          <w:tcPr>
            <w:tcW w:w="706" w:type="dxa"/>
            <w:vAlign w:val="center"/>
            <w:textDirection w:val="lrTb"/>
            <w:noWrap w:val="false"/>
          </w:tcPr>
          <w:p>
            <w:pPr>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1</w:t>
            </w:r>
            <w:r/>
          </w:p>
        </w:tc>
        <w:tc>
          <w:tcPr>
            <w:tcW w:w="1232" w:type="dxa"/>
            <w:vAlign w:val="center"/>
            <w:textDirection w:val="lrTb"/>
            <w:noWrap w:val="false"/>
          </w:tcPr>
          <w:p>
            <w:pPr>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价格分</w:t>
            </w:r>
            <w:r/>
          </w:p>
        </w:tc>
        <w:tc>
          <w:tcPr>
            <w:tcW w:w="757" w:type="dxa"/>
            <w:vAlign w:val="center"/>
            <w:textDirection w:val="lrTb"/>
            <w:noWrap w:val="false"/>
          </w:tcPr>
          <w:p>
            <w:pPr>
              <w:ind w:firstLine="28"/>
              <w:jc w:val="center"/>
              <w:rPr>
                <w:rFonts w:hint="default"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10</w:t>
            </w:r>
            <w:r/>
          </w:p>
        </w:tc>
        <w:tc>
          <w:tcPr>
            <w:tcW w:w="8638"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满足</w:t>
            </w:r>
            <w:r>
              <w:rPr>
                <w:rFonts w:hint="eastAsia" w:ascii="宋体" w:hAnsi="宋体" w:cs="宋体"/>
                <w:sz w:val="24"/>
                <w:highlight w:val="none"/>
                <w:lang w:eastAsia="zh-CN"/>
              </w:rPr>
              <w:t xml:space="preserve">招标</w:t>
            </w:r>
            <w:r>
              <w:rPr>
                <w:rFonts w:hint="eastAsia" w:ascii="宋体" w:hAnsi="宋体" w:cs="宋体"/>
                <w:sz w:val="24"/>
                <w:highlight w:val="none"/>
              </w:rPr>
              <w:t xml:space="preserve">文件要求且最终报价最低的报价为评标基准价，其价格分为满分。其他供应商的价格分统一按照下列公式计算：</w:t>
            </w:r>
            <w:r/>
          </w:p>
          <w:p>
            <w:pPr>
              <w:rPr>
                <w:rFonts w:hint="eastAsia" w:ascii="宋体" w:hAnsi="宋体" w:cs="宋体"/>
                <w:sz w:val="24"/>
                <w:szCs w:val="24"/>
                <w:highlight w:val="none"/>
                <w:lang w:val="en-US" w:eastAsia="zh-CN" w:bidi="ar-SA"/>
              </w:rPr>
            </w:pPr>
            <w:r>
              <w:rPr>
                <w:rFonts w:hint="eastAsia" w:ascii="宋体" w:hAnsi="宋体" w:cs="宋体"/>
                <w:sz w:val="24"/>
                <w:highlight w:val="none"/>
              </w:rPr>
              <w:t xml:space="preserve">价格分得分＝（评标基准价/最终报价）×分值。</w:t>
            </w:r>
            <w:r/>
          </w:p>
        </w:tc>
        <w:tc>
          <w:tcPr>
            <w:tcW w:w="2887" w:type="dxa"/>
            <w:vAlign w:val="center"/>
            <w:textDirection w:val="lrTb"/>
            <w:noWrap w:val="false"/>
          </w:tcPr>
          <w:p>
            <w:pPr>
              <w:ind w:left="-38"/>
              <w:rPr>
                <w:rFonts w:hint="eastAsia" w:ascii="宋体" w:hAnsi="宋体" w:cs="宋体"/>
                <w:sz w:val="24"/>
                <w:szCs w:val="24"/>
                <w:highlight w:val="none"/>
                <w:lang w:val="en-US" w:eastAsia="zh-CN" w:bidi="ar-SA"/>
              </w:rPr>
            </w:pPr>
            <w:r>
              <w:rPr>
                <w:rFonts w:hint="eastAsia" w:ascii="宋体" w:hAnsi="宋体" w:cs="宋体"/>
                <w:sz w:val="24"/>
                <w:highlight w:val="none"/>
              </w:rPr>
              <w:t xml:space="preserve">注：此处最终报价指经过报价修正，及因落实政府采购政策进行价格调整后的最终报价，详见第四章《评标方法和评标标准》3。</w:t>
            </w:r>
            <w:r/>
          </w:p>
        </w:tc>
      </w:tr>
      <w:tr>
        <w:trPr>
          <w:trHeight w:val="445"/>
        </w:trPr>
        <w:tc>
          <w:tcPr>
            <w:tcW w:w="706" w:type="dxa"/>
            <w:vAlign w:val="center"/>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w:t>
            </w:r>
            <w:r/>
          </w:p>
        </w:tc>
        <w:tc>
          <w:tcPr>
            <w:tcW w:w="1232" w:type="dxa"/>
            <w:vAlign w:val="center"/>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主观分</w:t>
            </w:r>
            <w:r/>
          </w:p>
        </w:tc>
        <w:tc>
          <w:tcPr>
            <w:tcW w:w="757"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60</w:t>
            </w:r>
            <w:r/>
          </w:p>
        </w:tc>
        <w:tc>
          <w:tcPr>
            <w:tcW w:w="8638" w:type="dxa"/>
            <w:vAlign w:val="center"/>
            <w:textDirection w:val="lrTb"/>
            <w:noWrap w:val="false"/>
          </w:tcPr>
          <w:p>
            <w:pPr>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c>
          <w:tcPr>
            <w:tcW w:w="2887" w:type="dxa"/>
            <w:vAlign w:val="top"/>
            <w:textDirection w:val="lrTb"/>
            <w:noWrap w:val="false"/>
          </w:tcPr>
          <w:p>
            <w:pPr>
              <w:jc w:val="center"/>
              <w:spacing w:line="360" w:lineRule="auto"/>
              <w:rPr>
                <w:b/>
                <w:sz w:val="36"/>
                <w:szCs w:val="36"/>
                <w:highlight w:val="none"/>
                <w:vertAlign w:val="baseline"/>
              </w:rPr>
              <w:outlineLvl w:val="0"/>
            </w:pPr>
            <w:r>
              <w:rPr>
                <w:b/>
                <w:sz w:val="36"/>
                <w:szCs w:val="36"/>
                <w:highlight w:val="none"/>
                <w:vertAlign w:val="baseline"/>
              </w:rPr>
            </w:r>
            <w:r/>
          </w:p>
        </w:tc>
      </w:tr>
      <w:tr>
        <w:trPr>
          <w:trHeight w:val="460"/>
        </w:trPr>
        <w:tc>
          <w:tcPr>
            <w:tcW w:w="706" w:type="dxa"/>
            <w:vAlign w:val="center"/>
            <w:textDirection w:val="lrTb"/>
            <w:noWrap w:val="false"/>
          </w:tcPr>
          <w:p>
            <w:pPr>
              <w:ind w:firstLine="28"/>
              <w:jc w:val="center"/>
              <w:spacing w:line="400" w:lineRule="exact"/>
              <w:rPr>
                <w:rFonts w:hint="default" w:ascii="宋体" w:hAnsi="宋体" w:eastAsia="宋体" w:cs="宋体"/>
                <w:sz w:val="24"/>
                <w:highlight w:val="none"/>
                <w:lang w:val="en-US" w:eastAsia="zh-CN"/>
              </w:rPr>
            </w:pPr>
            <w:r>
              <w:rPr>
                <w:rFonts w:hint="eastAsia" w:ascii="宋体" w:hAnsi="宋体"/>
                <w:color w:val="000000"/>
                <w:sz w:val="24"/>
                <w:szCs w:val="24"/>
                <w:highlight w:val="none"/>
              </w:rPr>
              <w:t xml:space="preserve">2.1</w:t>
            </w:r>
            <w:r/>
          </w:p>
        </w:tc>
        <w:tc>
          <w:tcPr>
            <w:tcW w:w="1232" w:type="dxa"/>
            <w:vAlign w:val="center"/>
            <w:textDirection w:val="lrTb"/>
            <w:noWrap w:val="false"/>
          </w:tcPr>
          <w:p>
            <w:pPr>
              <w:ind w:firstLine="28"/>
              <w:jc w:val="center"/>
              <w:spacing w:line="400" w:lineRule="exact"/>
              <w:rPr>
                <w:rFonts w:hint="eastAsia" w:ascii="宋体" w:hAnsi="宋体" w:eastAsia="宋体" w:cs="宋体"/>
                <w:sz w:val="24"/>
                <w:highlight w:val="none"/>
                <w:lang w:eastAsia="zh-CN"/>
              </w:rPr>
            </w:pPr>
            <w:r>
              <w:rPr>
                <w:rFonts w:hint="eastAsia" w:ascii="宋体" w:hAnsi="宋体"/>
                <w:color w:val="000000"/>
                <w:sz w:val="24"/>
                <w:szCs w:val="24"/>
                <w:highlight w:val="none"/>
                <w:lang w:val="en-US" w:eastAsia="zh-CN"/>
              </w:rPr>
              <w:t xml:space="preserve">总体方案</w:t>
            </w:r>
            <w:r/>
          </w:p>
        </w:tc>
        <w:tc>
          <w:tcPr>
            <w:tcW w:w="757" w:type="dxa"/>
            <w:vAlign w:val="center"/>
            <w:textDirection w:val="lrTb"/>
            <w:noWrap w:val="false"/>
          </w:tcPr>
          <w:p>
            <w:pPr>
              <w:jc w:val="center"/>
              <w:spacing w:line="400" w:lineRule="exact"/>
              <w:widowControl/>
              <w:tabs>
                <w:tab w:val="left" w:pos="1200" w:leader="none"/>
              </w:tabs>
              <w:rPr>
                <w:rFonts w:hint="default" w:ascii="宋体" w:hAnsi="宋体" w:eastAsia="宋体" w:cs="宋体"/>
                <w:sz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8638"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cs="宋体"/>
                <w:sz w:val="24"/>
                <w:szCs w:val="24"/>
                <w:highlight w:val="none"/>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color w:val="000000"/>
                <w:sz w:val="24"/>
                <w:szCs w:val="24"/>
                <w:highlight w:val="none"/>
                <w:lang w:val="en-US" w:eastAsia="zh-CN"/>
              </w:rPr>
              <w:t xml:space="preserve">总体方案</w:t>
            </w:r>
            <w:r>
              <w:rPr>
                <w:rFonts w:hint="eastAsia" w:ascii="宋体" w:hAnsi="宋体" w:eastAsia="宋体" w:cs="宋体"/>
                <w:color w:val="auto"/>
                <w:sz w:val="24"/>
                <w:szCs w:val="24"/>
                <w:highlight w:val="none"/>
                <w:lang w:eastAsia="zh-CN"/>
              </w:rPr>
              <w:t xml:space="preserve">进行评分，包括但不限于以下内容：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lang w:val="en-US" w:eastAsia="zh-CN"/>
              </w:rPr>
              <w:t xml:space="preserve">整体服务规划</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sz w:val="24"/>
                <w:highlight w:val="none"/>
                <w:lang w:eastAsia="zh-CN"/>
              </w:rPr>
              <w:t xml:space="preserve">垃圾清运方案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sz w:val="24"/>
                <w:highlight w:val="none"/>
                <w:lang w:eastAsia="zh-CN"/>
              </w:rPr>
              <w:t xml:space="preserve">清扫保洁方案</w:t>
            </w:r>
            <w:r>
              <w:rPr>
                <w:rFonts w:hint="eastAsia" w:ascii="宋体" w:hAnsi="宋体"/>
                <w:sz w:val="24"/>
                <w:highlight w:val="none"/>
                <w:lang w:val="en-US" w:eastAsia="zh-CN"/>
              </w:rPr>
              <w:t xml:space="preserve">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根据以上内容进行综合评审，上述内容完整详细且满足采购文件及采购需求的得</w:t>
            </w:r>
            <w:r>
              <w:rPr>
                <w:rFonts w:hint="eastAsia" w:ascii="宋体" w:hAnsi="宋体" w:cs="宋体"/>
                <w:sz w:val="24"/>
                <w:szCs w:val="24"/>
                <w:highlight w:val="none"/>
                <w:lang w:val="en-US" w:eastAsia="zh-CN"/>
              </w:rPr>
              <w:t xml:space="preserve">12分，</w:t>
            </w:r>
            <w:r>
              <w:rPr>
                <w:rFonts w:hint="eastAsia" w:ascii="宋体" w:hAnsi="宋体" w:cs="宋体"/>
                <w:sz w:val="24"/>
                <w:szCs w:val="24"/>
                <w:highlight w:val="none"/>
              </w:rPr>
              <w:t xml:space="preserve">每缺失一项内容扣</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400" w:lineRule="exact"/>
              <w:widowControl/>
              <w:tabs>
                <w:tab w:val="left" w:pos="1200" w:leader="none"/>
              </w:tabs>
              <w:rPr>
                <w:rFonts w:hint="eastAsia" w:ascii="宋体" w:hAnsi="宋体" w:eastAsia="宋体" w:cs="宋体"/>
                <w:sz w:val="24"/>
                <w:szCs w:val="24"/>
                <w:highlight w:val="none"/>
                <w:lang w:val="en-US" w:eastAsia="zh-CN" w:bidi="ar-SA"/>
              </w:rPr>
            </w:pPr>
            <w:r>
              <w:rPr>
                <w:rFonts w:hint="eastAsia" w:ascii="宋体" w:hAnsi="宋体" w:cs="宋体"/>
                <w:b/>
                <w:bCs/>
                <w:sz w:val="24"/>
                <w:szCs w:val="24"/>
                <w:highlight w:val="none"/>
              </w:rPr>
              <w:t xml:space="preserve">未提供方案不得分。</w:t>
            </w:r>
            <w:r/>
          </w:p>
        </w:tc>
        <w:tc>
          <w:tcPr>
            <w:tcW w:w="2887" w:type="dxa"/>
            <w:vAlign w:val="top"/>
            <w:textDirection w:val="lrTb"/>
            <w:noWrap w:val="false"/>
          </w:tcPr>
          <w:p>
            <w:pPr>
              <w:jc w:val="center"/>
              <w:spacing w:line="360" w:lineRule="auto"/>
              <w:rPr>
                <w:b/>
                <w:sz w:val="36"/>
                <w:szCs w:val="36"/>
                <w:highlight w:val="none"/>
                <w:vertAlign w:val="baseline"/>
              </w:rPr>
              <w:outlineLvl w:val="0"/>
            </w:pPr>
            <w:r>
              <w:rPr>
                <w:b/>
                <w:sz w:val="36"/>
                <w:szCs w:val="36"/>
                <w:highlight w:val="none"/>
                <w:vertAlign w:val="baseline"/>
              </w:rPr>
            </w:r>
            <w:r/>
          </w:p>
        </w:tc>
      </w:tr>
      <w:tr>
        <w:trPr/>
        <w:tc>
          <w:tcPr>
            <w:tcW w:w="706" w:type="dxa"/>
            <w:vAlign w:val="center"/>
            <w:textDirection w:val="lrTb"/>
            <w:noWrap w:val="false"/>
          </w:tcPr>
          <w:p>
            <w:pPr>
              <w:ind w:firstLine="28"/>
              <w:jc w:val="center"/>
              <w:spacing w:line="400" w:lineRule="exact"/>
              <w:rPr>
                <w:rFonts w:hint="default" w:ascii="宋体" w:hAnsi="宋体" w:eastAsia="宋体" w:cs="宋体"/>
                <w:sz w:val="24"/>
                <w:szCs w:val="24"/>
                <w:highlight w:val="none"/>
                <w:lang w:val="en-US" w:eastAsia="zh-CN"/>
              </w:rPr>
            </w:pPr>
            <w:r>
              <w:rPr>
                <w:rFonts w:hint="eastAsia" w:ascii="宋体" w:hAnsi="宋体"/>
                <w:color w:val="000000"/>
                <w:sz w:val="24"/>
                <w:szCs w:val="24"/>
                <w:highlight w:val="none"/>
              </w:rPr>
              <w:t xml:space="preserve">2.2</w:t>
            </w:r>
            <w:r/>
          </w:p>
        </w:tc>
        <w:tc>
          <w:tcPr>
            <w:tcW w:w="1232" w:type="dxa"/>
            <w:vAlign w:val="center"/>
            <w:textDirection w:val="lrTb"/>
            <w:noWrap w:val="false"/>
          </w:tcPr>
          <w:p>
            <w:pPr>
              <w:ind w:firstLine="28"/>
              <w:jc w:val="center"/>
              <w:spacing w:line="400" w:lineRule="exact"/>
              <w:rPr>
                <w:rFonts w:hint="eastAsia" w:ascii="宋体" w:hAnsi="宋体" w:cs="宋体"/>
                <w:sz w:val="24"/>
                <w:highlight w:val="none"/>
                <w:lang w:eastAsia="zh-CN"/>
              </w:rPr>
            </w:pPr>
            <w:r>
              <w:rPr>
                <w:rFonts w:hint="eastAsia" w:ascii="宋体" w:hAnsi="宋体"/>
                <w:color w:val="000000"/>
                <w:sz w:val="24"/>
                <w:szCs w:val="24"/>
                <w:highlight w:val="none"/>
                <w:lang w:val="en-US" w:eastAsia="zh-CN"/>
              </w:rPr>
              <w:t xml:space="preserve">安全管理方案</w:t>
            </w:r>
            <w:r/>
          </w:p>
        </w:tc>
        <w:tc>
          <w:tcPr>
            <w:tcW w:w="757" w:type="dxa"/>
            <w:vAlign w:val="center"/>
            <w:textDirection w:val="lrTb"/>
            <w:noWrap w:val="false"/>
          </w:tcPr>
          <w:p>
            <w:pPr>
              <w:jc w:val="center"/>
              <w:spacing w:line="400" w:lineRule="exact"/>
              <w:widowControl/>
              <w:tabs>
                <w:tab w:val="left" w:pos="1200" w:leader="none"/>
              </w:tabs>
              <w:rPr>
                <w:rFonts w:hint="default" w:ascii="宋体" w:hAnsi="宋体"/>
                <w:sz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8638" w:type="dxa"/>
            <w:vAlign w:val="center"/>
            <w:textDirection w:val="lrTb"/>
            <w:noWrap w:val="false"/>
          </w:tcPr>
          <w:p>
            <w:pPr>
              <w:jc w:val="both"/>
              <w:keepLines w:val="0"/>
              <w:keepNext w:val="0"/>
              <w:pageBreakBefore w:val="0"/>
              <w:spacing w:line="240" w:lineRule="auto"/>
              <w:rPr>
                <w:rFonts w:hint="eastAsia" w:ascii="宋体" w:hAnsi="宋体" w:cs="宋体"/>
                <w:sz w:val="24"/>
                <w:szCs w:val="24"/>
                <w:highlight w:val="none"/>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color w:val="000000"/>
                <w:sz w:val="24"/>
                <w:szCs w:val="24"/>
                <w:highlight w:val="none"/>
                <w:lang w:val="en-US" w:eastAsia="zh-CN"/>
              </w:rPr>
              <w:t xml:space="preserve">安全管理方案</w:t>
            </w:r>
            <w:r>
              <w:rPr>
                <w:rFonts w:hint="eastAsia" w:ascii="宋体" w:hAnsi="宋体" w:eastAsia="宋体" w:cs="宋体"/>
                <w:color w:val="auto"/>
                <w:sz w:val="24"/>
                <w:szCs w:val="24"/>
                <w:highlight w:val="none"/>
                <w:lang w:eastAsia="zh-CN"/>
              </w:rPr>
              <w:t xml:space="preserve">进行评分，包括但不限于以下内容：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rPr>
              <w:t xml:space="preserve">安全管理方案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sz w:val="24"/>
                <w:highlight w:val="none"/>
              </w:rPr>
              <w:t xml:space="preserve">安全</w:t>
            </w:r>
            <w:r>
              <w:rPr>
                <w:rFonts w:hint="eastAsia" w:ascii="宋体" w:hAnsi="宋体"/>
                <w:sz w:val="24"/>
                <w:highlight w:val="none"/>
                <w:lang w:eastAsia="zh-CN"/>
              </w:rPr>
              <w:t xml:space="preserve">管理</w:t>
            </w:r>
            <w:r>
              <w:rPr>
                <w:rFonts w:hint="eastAsia" w:ascii="宋体" w:hAnsi="宋体"/>
                <w:sz w:val="24"/>
                <w:highlight w:val="none"/>
              </w:rPr>
              <w:t xml:space="preserve">措施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cs="宋体"/>
                <w:sz w:val="24"/>
                <w:szCs w:val="24"/>
                <w:highlight w:val="none"/>
                <w:lang w:eastAsia="zh-CN"/>
              </w:rPr>
              <w:t xml:space="preserve">安全保障措施</w:t>
            </w:r>
            <w:r>
              <w:rPr>
                <w:rFonts w:hint="eastAsia" w:ascii="宋体" w:hAnsi="宋体"/>
                <w:sz w:val="24"/>
                <w:highlight w:val="none"/>
                <w:lang w:val="en-US" w:eastAsia="zh-CN"/>
              </w:rPr>
              <w:t xml:space="preserve">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根据以上内容进行综合评审，上述内容完整详细且满足采购文件及采购需求的得</w:t>
            </w:r>
            <w:r>
              <w:rPr>
                <w:rFonts w:hint="eastAsia" w:ascii="宋体" w:hAnsi="宋体" w:cs="宋体"/>
                <w:sz w:val="24"/>
                <w:szCs w:val="24"/>
                <w:highlight w:val="none"/>
                <w:lang w:val="en-US" w:eastAsia="zh-CN"/>
              </w:rPr>
              <w:t xml:space="preserve">12分，</w:t>
            </w:r>
            <w:r>
              <w:rPr>
                <w:rFonts w:hint="eastAsia" w:ascii="宋体" w:hAnsi="宋体" w:cs="宋体"/>
                <w:sz w:val="24"/>
                <w:szCs w:val="24"/>
                <w:highlight w:val="none"/>
              </w:rPr>
              <w:t xml:space="preserve">每缺失一项内容扣</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keepLines w:val="0"/>
              <w:keepNext w:val="0"/>
              <w:pageBreakBefore w:val="0"/>
              <w:spacing w:line="240" w:lineRule="auto"/>
              <w:widowControl/>
              <w:tabs>
                <w:tab w:val="left" w:pos="1200" w:leader="none"/>
              </w:tabs>
              <w:rPr>
                <w:rFonts w:hint="eastAsia" w:ascii="宋体" w:hAnsi="宋体" w:cs="宋体"/>
                <w:sz w:val="24"/>
                <w:szCs w:val="24"/>
                <w:highlight w:val="none"/>
                <w:lang w:val="en-US" w:eastAsia="zh-CN" w:bidi="ar-SA"/>
              </w:rPr>
            </w:pPr>
            <w:r>
              <w:rPr>
                <w:rFonts w:hint="eastAsia" w:ascii="宋体" w:hAnsi="宋体" w:cs="宋体"/>
                <w:b/>
                <w:bCs/>
                <w:sz w:val="24"/>
                <w:szCs w:val="24"/>
                <w:highlight w:val="none"/>
              </w:rPr>
              <w:t xml:space="preserve">未提供方案不得分。</w:t>
            </w:r>
            <w:r/>
          </w:p>
        </w:tc>
        <w:tc>
          <w:tcPr>
            <w:tcW w:w="2887" w:type="dxa"/>
            <w:vAlign w:val="top"/>
            <w:textDirection w:val="lrTb"/>
            <w:noWrap w:val="false"/>
          </w:tcPr>
          <w:p>
            <w:pPr>
              <w:jc w:val="center"/>
              <w:spacing w:line="360" w:lineRule="auto"/>
              <w:rPr>
                <w:b/>
                <w:sz w:val="36"/>
                <w:szCs w:val="36"/>
                <w:highlight w:val="none"/>
                <w:vertAlign w:val="baseline"/>
              </w:rPr>
              <w:outlineLvl w:val="0"/>
            </w:pPr>
            <w:r>
              <w:rPr>
                <w:b/>
                <w:sz w:val="36"/>
                <w:szCs w:val="36"/>
                <w:highlight w:val="none"/>
                <w:vertAlign w:val="baseline"/>
              </w:rPr>
            </w:r>
            <w:r/>
          </w:p>
        </w:tc>
      </w:tr>
      <w:tr>
        <w:trPr/>
        <w:tc>
          <w:tcPr>
            <w:tcW w:w="706" w:type="dxa"/>
            <w:vAlign w:val="center"/>
            <w:textDirection w:val="lrTb"/>
            <w:noWrap w:val="false"/>
          </w:tcPr>
          <w:p>
            <w:pPr>
              <w:ind w:firstLine="28"/>
              <w:jc w:val="center"/>
              <w:spacing w:line="400" w:lineRule="exact"/>
              <w:rPr>
                <w:rFonts w:hint="default" w:ascii="宋体" w:hAnsi="宋体" w:eastAsia="宋体" w:cs="宋体"/>
                <w:sz w:val="24"/>
                <w:szCs w:val="24"/>
                <w:highlight w:val="none"/>
                <w:lang w:val="en-US" w:eastAsia="zh-CN" w:bidi="ar-SA"/>
              </w:rPr>
            </w:pPr>
            <w:r>
              <w:rPr>
                <w:rFonts w:hint="eastAsia" w:ascii="宋体" w:hAnsi="宋体"/>
                <w:color w:val="000000"/>
                <w:sz w:val="24"/>
                <w:szCs w:val="24"/>
                <w:highlight w:val="none"/>
              </w:rPr>
              <w:t xml:space="preserve">2.3</w:t>
            </w:r>
            <w:r/>
          </w:p>
        </w:tc>
        <w:tc>
          <w:tcPr>
            <w:tcW w:w="1232" w:type="dxa"/>
            <w:vAlign w:val="center"/>
            <w:textDirection w:val="lrTb"/>
            <w:noWrap w:val="false"/>
          </w:tcPr>
          <w:p>
            <w:pPr>
              <w:ind w:firstLine="28"/>
              <w:jc w:val="center"/>
              <w:spacing w:line="400" w:lineRule="exact"/>
              <w:rPr>
                <w:rFonts w:hint="eastAsia" w:ascii="宋体" w:hAnsi="宋体" w:cs="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应急处置方案</w:t>
            </w:r>
            <w:r/>
          </w:p>
        </w:tc>
        <w:tc>
          <w:tcPr>
            <w:tcW w:w="757" w:type="dxa"/>
            <w:vAlign w:val="center"/>
            <w:textDirection w:val="lrTb"/>
            <w:noWrap w:val="false"/>
          </w:tcPr>
          <w:p>
            <w:pPr>
              <w:jc w:val="center"/>
              <w:spacing w:line="400" w:lineRule="exact"/>
              <w:widowControl/>
              <w:tabs>
                <w:tab w:val="left" w:pos="1200" w:leader="none"/>
              </w:tabs>
              <w:rPr>
                <w:rFonts w:hint="default" w:ascii="宋体" w:hAnsi="宋体" w:eastAsia="宋体" w:cs="宋体"/>
                <w:sz w:val="24"/>
                <w:szCs w:val="24"/>
                <w:highlight w:val="none"/>
                <w:lang w:val="en-US" w:eastAsia="zh-CN" w:bidi="ar-SA"/>
              </w:rPr>
            </w:pPr>
            <w:r>
              <w:rPr>
                <w:rFonts w:hint="eastAsia" w:ascii="宋体" w:hAnsi="宋体" w:cs="宋体"/>
                <w:color w:val="000000"/>
                <w:sz w:val="24"/>
                <w:szCs w:val="24"/>
                <w:highlight w:val="none"/>
                <w:lang w:val="en-US" w:eastAsia="zh-CN"/>
              </w:rPr>
              <w:t xml:space="preserve">12</w:t>
            </w:r>
            <w:r/>
          </w:p>
        </w:tc>
        <w:tc>
          <w:tcPr>
            <w:tcW w:w="8638" w:type="dxa"/>
            <w:vAlign w:val="center"/>
            <w:textDirection w:val="lrTb"/>
            <w:noWrap w:val="false"/>
          </w:tcPr>
          <w:p>
            <w:pPr>
              <w:jc w:val="both"/>
              <w:keepLines w:val="0"/>
              <w:keepNext w:val="0"/>
              <w:pageBreakBefore w:val="0"/>
              <w:spacing w:line="240" w:lineRule="auto"/>
              <w:rPr>
                <w:rFonts w:hint="eastAsia" w:ascii="宋体" w:hAnsi="宋体" w:cs="宋体"/>
                <w:sz w:val="24"/>
                <w:szCs w:val="24"/>
                <w:highlight w:val="none"/>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color w:val="000000"/>
                <w:sz w:val="24"/>
                <w:szCs w:val="24"/>
                <w:highlight w:val="none"/>
                <w:lang w:val="en-US" w:eastAsia="zh-CN"/>
              </w:rPr>
              <w:t xml:space="preserve">应急处置方案</w:t>
            </w:r>
            <w:r>
              <w:rPr>
                <w:rFonts w:hint="eastAsia" w:ascii="宋体" w:hAnsi="宋体" w:eastAsia="宋体" w:cs="宋体"/>
                <w:color w:val="auto"/>
                <w:sz w:val="24"/>
                <w:szCs w:val="24"/>
                <w:highlight w:val="none"/>
                <w:lang w:eastAsia="zh-CN"/>
              </w:rPr>
              <w:t xml:space="preserve">进行评分，包括但不限于以下内容：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lang w:eastAsia="zh-CN"/>
              </w:rPr>
              <w:t xml:space="preserve">应急总体方案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sz w:val="24"/>
                <w:highlight w:val="none"/>
                <w:lang w:val="en-US" w:eastAsia="zh-CN"/>
              </w:rPr>
              <w:t xml:space="preserve">事故现场处置方案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sz w:val="24"/>
                <w:highlight w:val="none"/>
              </w:rPr>
              <w:t xml:space="preserve">突发事件的应急预案</w:t>
            </w:r>
            <w:r>
              <w:rPr>
                <w:rFonts w:hint="eastAsia" w:ascii="宋体" w:hAnsi="宋体"/>
                <w:sz w:val="24"/>
                <w:highlight w:val="none"/>
                <w:lang w:val="en-US" w:eastAsia="zh-CN"/>
              </w:rPr>
              <w:t xml:space="preserve">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根据以上内容进行综合评审，上述内容完整详细且满足采购文件及采购需求的得</w:t>
            </w:r>
            <w:r>
              <w:rPr>
                <w:rFonts w:hint="eastAsia" w:ascii="宋体" w:hAnsi="宋体" w:cs="宋体"/>
                <w:sz w:val="24"/>
                <w:szCs w:val="24"/>
                <w:highlight w:val="none"/>
                <w:lang w:val="en-US" w:eastAsia="zh-CN"/>
              </w:rPr>
              <w:t xml:space="preserve">12分，</w:t>
            </w:r>
            <w:r>
              <w:rPr>
                <w:rFonts w:hint="eastAsia" w:ascii="宋体" w:hAnsi="宋体" w:cs="宋体"/>
                <w:sz w:val="24"/>
                <w:szCs w:val="24"/>
                <w:highlight w:val="none"/>
              </w:rPr>
              <w:t xml:space="preserve">每缺失一项内容扣</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400" w:lineRule="exact"/>
              <w:widowControl/>
              <w:tabs>
                <w:tab w:val="left" w:pos="1200" w:leader="none"/>
              </w:tabs>
              <w:rPr>
                <w:rFonts w:hint="eastAsia" w:ascii="宋体" w:hAnsi="宋体" w:eastAsia="宋体" w:cs="宋体"/>
                <w:sz w:val="24"/>
                <w:szCs w:val="24"/>
                <w:highlight w:val="none"/>
                <w:lang w:val="en-US" w:eastAsia="zh-CN" w:bidi="ar-SA"/>
              </w:rPr>
            </w:pPr>
            <w:r>
              <w:rPr>
                <w:rFonts w:hint="eastAsia" w:ascii="宋体" w:hAnsi="宋体" w:cs="宋体"/>
                <w:b/>
                <w:bCs/>
                <w:sz w:val="24"/>
                <w:szCs w:val="24"/>
                <w:highlight w:val="none"/>
              </w:rPr>
              <w:t xml:space="preserve">未提供方案不得分。</w:t>
            </w:r>
            <w:r/>
          </w:p>
        </w:tc>
        <w:tc>
          <w:tcPr>
            <w:tcW w:w="2887" w:type="dxa"/>
            <w:vAlign w:val="top"/>
            <w:textDirection w:val="lrTb"/>
            <w:noWrap w:val="false"/>
          </w:tcPr>
          <w:p>
            <w:pPr>
              <w:jc w:val="center"/>
              <w:spacing w:line="360" w:lineRule="auto"/>
              <w:rPr>
                <w:b/>
                <w:sz w:val="36"/>
                <w:szCs w:val="36"/>
                <w:highlight w:val="none"/>
                <w:vertAlign w:val="baseline"/>
              </w:rPr>
              <w:outlineLvl w:val="0"/>
            </w:pPr>
            <w:r>
              <w:rPr>
                <w:b/>
                <w:sz w:val="36"/>
                <w:szCs w:val="36"/>
                <w:highlight w:val="none"/>
                <w:vertAlign w:val="baseline"/>
              </w:rPr>
            </w:r>
            <w:r/>
          </w:p>
        </w:tc>
      </w:tr>
      <w:tr>
        <w:trPr/>
        <w:tc>
          <w:tcPr>
            <w:tcW w:w="706" w:type="dxa"/>
            <w:vAlign w:val="center"/>
            <w:textDirection w:val="lrTb"/>
            <w:noWrap w:val="false"/>
          </w:tcPr>
          <w:p>
            <w:pPr>
              <w:ind w:firstLine="28"/>
              <w:jc w:val="center"/>
              <w:spacing w:line="400" w:lineRule="exact"/>
              <w:rPr>
                <w:rFonts w:hint="eastAsia" w:ascii="宋体" w:hAnsi="宋体" w:eastAsia="宋体" w:cs="宋体"/>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4</w:t>
            </w:r>
            <w:r/>
          </w:p>
        </w:tc>
        <w:tc>
          <w:tcPr>
            <w:tcW w:w="1232" w:type="dxa"/>
            <w:vAlign w:val="center"/>
            <w:textDirection w:val="lrTb"/>
            <w:noWrap w:val="false"/>
          </w:tcPr>
          <w:p>
            <w:pPr>
              <w:ind w:firstLine="28"/>
              <w:jc w:val="center"/>
              <w:spacing w:line="400" w:lineRule="exact"/>
              <w:rPr>
                <w:rFonts w:hint="eastAsia" w:ascii="宋体" w:hAnsi="宋体" w:eastAsia="宋体"/>
                <w:sz w:val="24"/>
                <w:szCs w:val="24"/>
                <w:highlight w:val="none"/>
                <w:lang w:val="en-US" w:eastAsia="zh-CN" w:bidi="ar-SA"/>
              </w:rPr>
            </w:pPr>
            <w:r>
              <w:rPr>
                <w:rFonts w:hint="eastAsia" w:ascii="宋体" w:hAnsi="宋体"/>
                <w:color w:val="000000"/>
                <w:sz w:val="24"/>
                <w:szCs w:val="24"/>
                <w:highlight w:val="none"/>
                <w:lang w:val="en-US" w:eastAsia="zh-CN"/>
              </w:rPr>
              <w:t xml:space="preserve">质量及进度保证措施</w:t>
            </w:r>
            <w:r/>
          </w:p>
        </w:tc>
        <w:tc>
          <w:tcPr>
            <w:tcW w:w="757" w:type="dxa"/>
            <w:vAlign w:val="center"/>
            <w:textDirection w:val="lrTb"/>
            <w:noWrap w:val="false"/>
          </w:tcPr>
          <w:p>
            <w:pPr>
              <w:jc w:val="center"/>
              <w:spacing w:line="400" w:lineRule="exact"/>
              <w:rPr>
                <w:rFonts w:hint="default" w:ascii="宋体" w:hAnsi="宋体" w:eastAsia="宋体"/>
                <w:sz w:val="24"/>
                <w:szCs w:val="24"/>
                <w:highlight w:val="none"/>
                <w:lang w:val="en-US" w:eastAsia="zh-CN" w:bidi="ar-SA"/>
              </w:rPr>
            </w:pPr>
            <w:r>
              <w:rPr>
                <w:rFonts w:hint="eastAsia" w:ascii="宋体" w:hAnsi="宋体" w:cs="宋体"/>
                <w:color w:val="000000"/>
                <w:sz w:val="24"/>
                <w:szCs w:val="24"/>
                <w:highlight w:val="none"/>
                <w:lang w:val="en-US" w:eastAsia="zh-CN"/>
              </w:rPr>
              <w:t xml:space="preserve">12</w:t>
            </w:r>
            <w:r/>
          </w:p>
        </w:tc>
        <w:tc>
          <w:tcPr>
            <w:tcW w:w="8638"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szCs w:val="24"/>
                <w:highlight w:val="none"/>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color w:val="000000"/>
                <w:sz w:val="24"/>
                <w:szCs w:val="24"/>
                <w:highlight w:val="none"/>
                <w:lang w:val="en-US" w:eastAsia="zh-CN"/>
              </w:rPr>
              <w:t xml:space="preserve">质量及进度保证措施</w:t>
            </w:r>
            <w:r>
              <w:rPr>
                <w:rFonts w:hint="eastAsia" w:ascii="宋体" w:hAnsi="宋体" w:eastAsia="宋体" w:cs="宋体"/>
                <w:color w:val="auto"/>
                <w:sz w:val="24"/>
                <w:szCs w:val="24"/>
                <w:highlight w:val="none"/>
                <w:lang w:eastAsia="zh-CN"/>
              </w:rPr>
              <w:t xml:space="preserve">进行评分，包括但不限于以下内容：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lang w:val="en-US" w:eastAsia="zh-CN"/>
              </w:rPr>
              <w:t xml:space="preserve">质量控制措施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sz w:val="24"/>
                <w:highlight w:val="none"/>
              </w:rPr>
              <w:t xml:space="preserve">质量保证措施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sz w:val="24"/>
                <w:highlight w:val="none"/>
                <w:lang w:eastAsia="zh-CN"/>
              </w:rPr>
              <w:t xml:space="preserve">服务进度措施等，</w:t>
            </w:r>
            <w:r>
              <w:rPr>
                <w:rFonts w:hint="eastAsia" w:ascii="宋体" w:hAnsi="宋体" w:cs="宋体"/>
                <w:sz w:val="24"/>
                <w:szCs w:val="24"/>
                <w:highlight w:val="none"/>
              </w:rPr>
              <w:t xml:space="preserve">根据以上内容进行综合评审，上述内容完整详细且满足采购文件及采购需求的得</w:t>
            </w:r>
            <w:r>
              <w:rPr>
                <w:rFonts w:hint="eastAsia" w:ascii="宋体" w:hAnsi="宋体" w:cs="宋体"/>
                <w:sz w:val="24"/>
                <w:szCs w:val="24"/>
                <w:highlight w:val="none"/>
                <w:lang w:val="en-US" w:eastAsia="zh-CN"/>
              </w:rPr>
              <w:t xml:space="preserve">12分，</w:t>
            </w:r>
            <w:r>
              <w:rPr>
                <w:rFonts w:hint="eastAsia" w:ascii="宋体" w:hAnsi="宋体" w:cs="宋体"/>
                <w:sz w:val="24"/>
                <w:szCs w:val="24"/>
                <w:highlight w:val="none"/>
              </w:rPr>
              <w:t xml:space="preserve">每缺失一项内容扣</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keepLines w:val="0"/>
              <w:keepNext w:val="0"/>
              <w:pageBreakBefore w:val="0"/>
              <w:spacing w:line="240" w:lineRule="auto"/>
              <w:widowControl w:val="off"/>
              <w:rPr>
                <w:rFonts w:hint="eastAsia" w:ascii="宋体" w:hAnsi="宋体"/>
                <w:sz w:val="24"/>
                <w:szCs w:val="24"/>
                <w:highlight w:val="none"/>
                <w:lang w:val="en-US" w:eastAsia="zh-CN" w:bidi="ar-SA"/>
              </w:rPr>
            </w:pPr>
            <w:r>
              <w:rPr>
                <w:rFonts w:hint="eastAsia" w:ascii="宋体" w:hAnsi="宋体" w:cs="宋体"/>
                <w:b/>
                <w:bCs/>
                <w:sz w:val="24"/>
                <w:szCs w:val="24"/>
                <w:highlight w:val="none"/>
              </w:rPr>
              <w:t xml:space="preserve">未提供方案不得分。</w:t>
            </w:r>
            <w:r/>
          </w:p>
        </w:tc>
        <w:tc>
          <w:tcPr>
            <w:tcW w:w="2887" w:type="dxa"/>
            <w:vAlign w:val="center"/>
            <w:textDirection w:val="lrTb"/>
            <w:noWrap w:val="false"/>
          </w:tcPr>
          <w:p>
            <w:pPr>
              <w:ind w:left="-38"/>
              <w:tabs>
                <w:tab w:val="left" w:pos="1052" w:leader="none"/>
              </w:tabs>
              <w:rPr>
                <w:rFonts w:hint="default"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ab/>
            </w:r>
            <w:r/>
          </w:p>
        </w:tc>
      </w:tr>
      <w:tr>
        <w:trPr/>
        <w:tc>
          <w:tcPr>
            <w:tcW w:w="706" w:type="dxa"/>
            <w:vAlign w:val="center"/>
            <w:textDirection w:val="lrTb"/>
            <w:noWrap w:val="false"/>
          </w:tcPr>
          <w:p>
            <w:pPr>
              <w:ind w:firstLine="28"/>
              <w:jc w:val="center"/>
              <w:spacing w:line="400" w:lineRule="exact"/>
              <w:rPr>
                <w:rFonts w:hint="default" w:ascii="宋体" w:hAnsi="宋体" w:eastAsia="宋体" w:cs="宋体"/>
                <w:sz w:val="24"/>
                <w:szCs w:val="24"/>
                <w:highlight w:val="none"/>
                <w:lang w:val="en-US"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p>
        </w:tc>
        <w:tc>
          <w:tcPr>
            <w:tcW w:w="1232" w:type="dxa"/>
            <w:vAlign w:val="center"/>
            <w:textDirection w:val="lrTb"/>
            <w:noWrap w:val="false"/>
          </w:tcPr>
          <w:p>
            <w:pPr>
              <w:ind w:firstLine="28"/>
              <w:jc w:val="center"/>
              <w:spacing w:line="400" w:lineRule="exact"/>
              <w:rPr>
                <w:rFonts w:hint="eastAsia" w:ascii="宋体" w:hAnsi="宋体" w:eastAsia="宋体"/>
                <w:sz w:val="24"/>
                <w:szCs w:val="24"/>
                <w:highlight w:val="none"/>
                <w:lang w:val="en-US" w:eastAsia="zh-CN" w:bidi="ar-SA"/>
              </w:rPr>
            </w:pPr>
            <w:r>
              <w:rPr>
                <w:rFonts w:hint="eastAsia" w:ascii="宋体" w:hAnsi="宋体" w:eastAsia="宋体"/>
                <w:color w:val="000000"/>
                <w:sz w:val="24"/>
                <w:szCs w:val="24"/>
                <w:highlight w:val="none"/>
                <w:lang w:val="en-US" w:eastAsia="zh-CN"/>
              </w:rPr>
              <w:t xml:space="preserve">服务承诺</w:t>
            </w:r>
            <w:r/>
          </w:p>
        </w:tc>
        <w:tc>
          <w:tcPr>
            <w:tcW w:w="757" w:type="dxa"/>
            <w:vAlign w:val="center"/>
            <w:textDirection w:val="lrTb"/>
            <w:noWrap w:val="false"/>
          </w:tcPr>
          <w:p>
            <w:pPr>
              <w:jc w:val="center"/>
              <w:spacing w:line="400" w:lineRule="exact"/>
              <w:rPr>
                <w:rFonts w:hint="default" w:ascii="宋体" w:hAnsi="宋体" w:eastAsia="宋体"/>
                <w:sz w:val="24"/>
                <w:szCs w:val="24"/>
                <w:highlight w:val="none"/>
                <w:lang w:val="en-US" w:eastAsia="zh-CN" w:bidi="ar-SA"/>
              </w:rPr>
            </w:pPr>
            <w:r>
              <w:rPr>
                <w:rFonts w:hint="eastAsia" w:ascii="宋体" w:hAnsi="宋体" w:cs="宋体"/>
                <w:color w:val="000000"/>
                <w:sz w:val="24"/>
                <w:szCs w:val="24"/>
                <w:highlight w:val="none"/>
                <w:lang w:val="en-US" w:eastAsia="zh-CN"/>
              </w:rPr>
              <w:t xml:space="preserve">12</w:t>
            </w:r>
            <w:r/>
          </w:p>
        </w:tc>
        <w:tc>
          <w:tcPr>
            <w:tcW w:w="8638" w:type="dxa"/>
            <w:vAlign w:val="center"/>
            <w:textDirection w:val="lrTb"/>
            <w:noWrap w:val="false"/>
          </w:tcPr>
          <w:p>
            <w:pPr>
              <w:jc w:val="both"/>
              <w:keepLines w:val="0"/>
              <w:keepNext w:val="0"/>
              <w:pageBreakBefore w:val="0"/>
              <w:spacing w:line="240" w:lineRule="auto"/>
              <w:widowControl w:val="off"/>
              <w:rPr>
                <w:rFonts w:hint="eastAsia" w:ascii="宋体" w:hAnsi="宋体"/>
                <w:sz w:val="24"/>
                <w:highlight w:val="none"/>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eastAsia="宋体"/>
                <w:color w:val="000000"/>
                <w:sz w:val="24"/>
                <w:szCs w:val="24"/>
                <w:highlight w:val="none"/>
                <w:lang w:val="en-US" w:eastAsia="zh-CN"/>
              </w:rPr>
              <w:t xml:space="preserve">服务承诺</w:t>
            </w:r>
            <w:r>
              <w:rPr>
                <w:rFonts w:hint="eastAsia" w:ascii="宋体" w:hAnsi="宋体" w:eastAsia="宋体" w:cs="宋体"/>
                <w:color w:val="auto"/>
                <w:sz w:val="24"/>
                <w:szCs w:val="24"/>
                <w:highlight w:val="none"/>
                <w:lang w:eastAsia="zh-CN"/>
              </w:rPr>
              <w:t xml:space="preserve">进行评分，包括但不限于以下内容：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rPr>
              <w:t xml:space="preserve">服务质量承诺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sz w:val="24"/>
                <w:highlight w:val="none"/>
              </w:rPr>
              <w:t xml:space="preserve">人员与设备配置承诺</w:t>
            </w:r>
            <w:r/>
          </w:p>
          <w:p>
            <w:pPr>
              <w:jc w:val="both"/>
              <w:keepLines w:val="0"/>
              <w:keepNext w:val="0"/>
              <w:pageBreakBefore w:val="0"/>
              <w:spacing w:line="240" w:lineRule="auto"/>
              <w:widowControl w:val="off"/>
              <w:rPr>
                <w:rFonts w:hint="eastAsia" w:ascii="宋体" w:hAnsi="宋体" w:cs="宋体"/>
                <w:sz w:val="24"/>
                <w:szCs w:val="24"/>
                <w:highlight w:val="none"/>
              </w:rPr>
            </w:pPr>
            <w:r>
              <w:rPr>
                <w:rFonts w:hint="eastAsia" w:ascii="宋体" w:hAnsi="宋体"/>
                <w:sz w:val="24"/>
                <w:highlight w:val="none"/>
                <w:lang w:val="en-US"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环保承诺</w:t>
            </w:r>
            <w:r>
              <w:rPr>
                <w:rFonts w:hint="eastAsia" w:ascii="宋体" w:hAnsi="宋体"/>
                <w:sz w:val="24"/>
                <w:highlight w:val="none"/>
                <w:lang w:val="en-US" w:eastAsia="zh-CN"/>
              </w:rPr>
              <w:t xml:space="preserve">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根据以上内容进行综合评审，上述内容完整详细且满足采购文件及采购需求的得</w:t>
            </w:r>
            <w:r>
              <w:rPr>
                <w:rFonts w:hint="eastAsia" w:ascii="宋体" w:hAnsi="宋体" w:cs="宋体"/>
                <w:sz w:val="24"/>
                <w:szCs w:val="24"/>
                <w:highlight w:val="none"/>
                <w:lang w:val="en-US" w:eastAsia="zh-CN"/>
              </w:rPr>
              <w:t xml:space="preserve">12分，</w:t>
            </w:r>
            <w:r>
              <w:rPr>
                <w:rFonts w:hint="eastAsia" w:ascii="宋体" w:hAnsi="宋体" w:cs="宋体"/>
                <w:sz w:val="24"/>
                <w:szCs w:val="24"/>
                <w:highlight w:val="none"/>
              </w:rPr>
              <w:t xml:space="preserve">每缺失一项内容扣</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keepLines w:val="0"/>
              <w:keepNext w:val="0"/>
              <w:pageBreakBefore w:val="0"/>
              <w:spacing w:line="24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未提供方案不得分。</w:t>
            </w:r>
            <w:r/>
          </w:p>
        </w:tc>
        <w:tc>
          <w:tcPr>
            <w:tcW w:w="2887" w:type="dxa"/>
            <w:vAlign w:val="center"/>
            <w:textDirection w:val="lrTb"/>
            <w:noWrap w:val="false"/>
          </w:tcPr>
          <w:p>
            <w:pPr>
              <w:ind w:left="-38"/>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r>
      <w:tr>
        <w:trPr/>
        <w:tc>
          <w:tcPr>
            <w:tcW w:w="706" w:type="dxa"/>
            <w:vAlign w:val="center"/>
            <w:textDirection w:val="lrTb"/>
            <w:noWrap w:val="false"/>
          </w:tcPr>
          <w:p>
            <w:pPr>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3</w:t>
            </w:r>
            <w:r/>
          </w:p>
        </w:tc>
        <w:tc>
          <w:tcPr>
            <w:tcW w:w="1232" w:type="dxa"/>
            <w:vAlign w:val="center"/>
            <w:textDirection w:val="lrTb"/>
            <w:noWrap w:val="false"/>
          </w:tcPr>
          <w:p>
            <w:pPr>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客观分</w:t>
            </w:r>
            <w:r/>
          </w:p>
        </w:tc>
        <w:tc>
          <w:tcPr>
            <w:tcW w:w="757" w:type="dxa"/>
            <w:vAlign w:val="center"/>
            <w:textDirection w:val="lrTb"/>
            <w:noWrap w:val="false"/>
          </w:tcPr>
          <w:p>
            <w:pPr>
              <w:jc w:val="center"/>
              <w:rPr>
                <w:rFonts w:hint="default" w:ascii="宋体" w:hAnsi="宋体" w:eastAsia="宋体" w:cs="宋体"/>
                <w:color w:val="ff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w:t>
            </w:r>
            <w:r/>
          </w:p>
        </w:tc>
        <w:tc>
          <w:tcPr>
            <w:tcW w:w="8638" w:type="dxa"/>
            <w:vAlign w:val="center"/>
            <w:textDirection w:val="lrTb"/>
            <w:noWrap w:val="false"/>
          </w:tcPr>
          <w:p>
            <w:pPr>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c>
          <w:tcPr>
            <w:tcW w:w="2887" w:type="dxa"/>
            <w:vAlign w:val="center"/>
            <w:textDirection w:val="lrTb"/>
            <w:noWrap w:val="false"/>
          </w:tcPr>
          <w:p>
            <w:pPr>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r>
      <w:tr>
        <w:trPr>
          <w:trHeight w:val="1108"/>
        </w:trPr>
        <w:tc>
          <w:tcPr>
            <w:tcW w:w="706" w:type="dxa"/>
            <w:vAlign w:val="center"/>
            <w:textDirection w:val="lrTb"/>
            <w:noWrap w:val="false"/>
          </w:tcPr>
          <w:p>
            <w:pPr>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3.1</w:t>
            </w:r>
            <w:r/>
          </w:p>
        </w:tc>
        <w:tc>
          <w:tcPr>
            <w:tcW w:w="1232" w:type="dxa"/>
            <w:vAlign w:val="center"/>
            <w:textDirection w:val="lrTb"/>
            <w:noWrap w:val="false"/>
          </w:tcPr>
          <w:p>
            <w:pPr>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企业业绩</w:t>
            </w:r>
            <w:r/>
          </w:p>
        </w:tc>
        <w:tc>
          <w:tcPr>
            <w:tcW w:w="757" w:type="dxa"/>
            <w:vAlign w:val="center"/>
            <w:textDirection w:val="lrTb"/>
            <w:noWrap w:val="false"/>
          </w:tcPr>
          <w:p>
            <w:pPr>
              <w:ind w:firstLine="28"/>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tcW w:w="8638"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供应商自202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月01日以来（以合同签订时间为准）承担过类似项目的，每有一份得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分。</w:t>
            </w:r>
            <w:r/>
          </w:p>
          <w:p>
            <w:pPr>
              <w:rPr>
                <w:rFonts w:hint="eastAsia" w:ascii="宋体" w:hAnsi="宋体" w:cs="宋体"/>
                <w:sz w:val="24"/>
                <w:highlight w:val="none"/>
                <w:lang w:val="en-US" w:eastAsia="zh-CN"/>
              </w:rPr>
            </w:pPr>
            <w:r>
              <w:rPr>
                <w:rFonts w:hint="eastAsia" w:ascii="宋体" w:hAnsi="宋体" w:cs="宋体"/>
                <w:b/>
                <w:bCs/>
                <w:sz w:val="24"/>
                <w:highlight w:val="none"/>
              </w:rPr>
              <w:t xml:space="preserve">提供合同扫描件上传，否则不得分</w:t>
            </w:r>
            <w:r>
              <w:rPr>
                <w:rFonts w:hint="eastAsia" w:ascii="宋体" w:hAnsi="宋体" w:cs="宋体"/>
                <w:b/>
                <w:bCs/>
                <w:sz w:val="24"/>
                <w:highlight w:val="none"/>
                <w:lang w:val="zh-CN"/>
              </w:rPr>
              <w:t xml:space="preserve">。</w:t>
            </w:r>
            <w:r/>
          </w:p>
        </w:tc>
        <w:tc>
          <w:tcPr>
            <w:tcW w:w="2887" w:type="dxa"/>
            <w:vAlign w:val="center"/>
            <w:textDirection w:val="lrTb"/>
            <w:noWrap w:val="false"/>
          </w:tcPr>
          <w:p>
            <w:pPr>
              <w:ind w:left="-38"/>
              <w:rPr>
                <w:rFonts w:hint="eastAsia" w:ascii="宋体" w:hAnsi="宋体" w:cs="宋体"/>
                <w:sz w:val="24"/>
                <w:szCs w:val="24"/>
                <w:highlight w:val="none"/>
                <w:lang w:val="zh-CN" w:eastAsia="zh-CN" w:bidi="ar-SA"/>
              </w:rPr>
            </w:pPr>
            <w:r>
              <w:rPr>
                <w:rFonts w:hint="eastAsia" w:ascii="宋体" w:hAnsi="宋体" w:cs="宋体"/>
                <w:sz w:val="24"/>
                <w:szCs w:val="24"/>
                <w:highlight w:val="none"/>
                <w:lang w:val="zh-CN" w:eastAsia="zh-CN" w:bidi="ar-SA"/>
              </w:rPr>
            </w:r>
            <w:r/>
          </w:p>
        </w:tc>
      </w:tr>
      <w:tr>
        <w:trPr/>
        <w:tc>
          <w:tcPr>
            <w:tcW w:w="706" w:type="dxa"/>
            <w:vAlign w:val="center"/>
            <w:vMerge w:val="restart"/>
            <w:textDirection w:val="lrTb"/>
            <w:noWrap w:val="false"/>
          </w:tcPr>
          <w:p>
            <w:pPr>
              <w:ind w:firstLine="28"/>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3.2</w:t>
            </w:r>
            <w:r/>
          </w:p>
        </w:tc>
        <w:tc>
          <w:tcPr>
            <w:tcW w:w="1232" w:type="dxa"/>
            <w:vAlign w:val="center"/>
            <w:vMerge w:val="restart"/>
            <w:textDirection w:val="lrTb"/>
            <w:noWrap w:val="false"/>
          </w:tcPr>
          <w:p>
            <w:pPr>
              <w:jc w:val="center"/>
              <w:spacing w:line="400" w:lineRule="exact"/>
              <w:rPr>
                <w:rFonts w:hint="eastAsia" w:ascii="宋体" w:hAnsi="宋体"/>
                <w:sz w:val="24"/>
                <w:szCs w:val="24"/>
                <w:highlight w:val="none"/>
                <w:lang w:eastAsia="zh-CN"/>
              </w:rPr>
            </w:pPr>
            <w:r>
              <w:rPr>
                <w:rFonts w:hint="eastAsia" w:ascii="宋体" w:hAnsi="宋体" w:eastAsia="宋体" w:cs="宋体"/>
                <w:bCs/>
                <w:sz w:val="24"/>
                <w:szCs w:val="24"/>
              </w:rPr>
              <w:t xml:space="preserve">项目管理负责人</w:t>
            </w:r>
            <w:r/>
          </w:p>
        </w:tc>
        <w:tc>
          <w:tcPr>
            <w:tcW w:w="757" w:type="dxa"/>
            <w:vAlign w:val="center"/>
            <w:textDirection w:val="lrTb"/>
            <w:noWrap w:val="false"/>
          </w:tcPr>
          <w:p>
            <w:pPr>
              <w:jc w:val="center"/>
              <w:spacing w:line="400" w:lineRule="exact"/>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4</w:t>
            </w:r>
            <w:r/>
          </w:p>
        </w:tc>
        <w:tc>
          <w:tcPr>
            <w:tcW w:w="8638" w:type="dxa"/>
            <w:vAlign w:val="center"/>
            <w:textDirection w:val="lrTb"/>
            <w:noWrap w:val="false"/>
          </w:tcPr>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为本项目配备项目管理负责人：项目管理负责人具备大专及以上学历得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spacing w:line="400" w:lineRule="exact"/>
              <w:rPr>
                <w:rFonts w:hint="eastAsia" w:ascii="宋体" w:hAnsi="宋体" w:eastAsia="宋体" w:cs="宋体"/>
                <w:bCs/>
                <w:sz w:val="24"/>
                <w:szCs w:val="24"/>
              </w:rPr>
            </w:pPr>
            <w:r>
              <w:rPr>
                <w:rFonts w:hint="eastAsia" w:ascii="宋体" w:hAnsi="宋体" w:eastAsia="宋体" w:cs="宋体"/>
                <w:b/>
                <w:bCs w:val="0"/>
                <w:sz w:val="24"/>
                <w:szCs w:val="24"/>
              </w:rPr>
              <w:t xml:space="preserve">提供项目管理负责人的学历证书、投标人为其缴纳</w:t>
            </w:r>
            <w:r>
              <w:rPr>
                <w:rFonts w:hint="eastAsia" w:ascii="宋体" w:hAnsi="宋体" w:eastAsia="宋体" w:cs="宋体"/>
                <w:b/>
                <w:bCs w:val="0"/>
                <w:sz w:val="24"/>
                <w:szCs w:val="24"/>
                <w:lang w:eastAsia="zh-CN"/>
              </w:rPr>
              <w:t xml:space="preserve">近三个月</w:t>
            </w:r>
            <w:r>
              <w:rPr>
                <w:rFonts w:hint="eastAsia" w:ascii="宋体" w:hAnsi="宋体" w:eastAsia="宋体" w:cs="宋体"/>
                <w:b/>
                <w:bCs w:val="0"/>
                <w:sz w:val="24"/>
                <w:szCs w:val="24"/>
              </w:rPr>
              <w:t xml:space="preserve">的社保证明。</w:t>
            </w:r>
            <w:r/>
          </w:p>
        </w:tc>
        <w:tc>
          <w:tcPr>
            <w:tcW w:w="2887" w:type="dxa"/>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r>
            <w:r/>
          </w:p>
        </w:tc>
      </w:tr>
      <w:tr>
        <w:trPr/>
        <w:tc>
          <w:tcPr>
            <w:tcW w:w="706" w:type="dxa"/>
            <w:vAlign w:val="center"/>
            <w:vMerge w:val="continue"/>
            <w:textDirection w:val="lrTb"/>
            <w:noWrap w:val="false"/>
          </w:tcPr>
          <w:p>
            <w:pPr>
              <w:ind w:firstLine="28"/>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W w:w="1232" w:type="dxa"/>
            <w:vAlign w:val="center"/>
            <w:vMerge w:val="continue"/>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757" w:type="dxa"/>
            <w:vAlign w:val="center"/>
            <w:textDirection w:val="lrTb"/>
            <w:noWrap w:val="false"/>
          </w:tcPr>
          <w:p>
            <w:pPr>
              <w:jc w:val="cente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8638" w:type="dxa"/>
            <w:vAlign w:val="center"/>
            <w:textDirection w:val="lrTb"/>
            <w:noWrap w:val="false"/>
          </w:tcPr>
          <w:p>
            <w:pPr>
              <w:spacing w:line="40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 xml:space="preserve">投标人拟投入本项目的项目负责人在</w:t>
            </w:r>
            <w:r>
              <w:rPr>
                <w:rFonts w:hint="eastAsia" w:ascii="宋体" w:hAnsi="宋体" w:eastAsia="宋体" w:cs="宋体"/>
                <w:b w:val="0"/>
                <w:bCs/>
                <w:sz w:val="24"/>
                <w:szCs w:val="24"/>
                <w:highlight w:val="none"/>
                <w:lang w:val="en-US" w:eastAsia="zh-CN"/>
              </w:rPr>
              <w:t xml:space="preserve">2022年11月01日以来具有担任类似相关经验，每提供一个业绩得2分，最多得4分。</w:t>
            </w:r>
            <w:r/>
          </w:p>
          <w:p>
            <w:pPr>
              <w:numPr>
                <w:ilvl w:val="0"/>
                <w:numId w:val="0"/>
              </w:numPr>
              <w:spacing w:line="400" w:lineRule="exact"/>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(1)</w:t>
            </w:r>
            <w:r>
              <w:rPr>
                <w:rFonts w:hint="default" w:ascii="宋体" w:hAnsi="宋体" w:eastAsia="宋体" w:cs="宋体"/>
                <w:b w:val="0"/>
                <w:bCs/>
                <w:sz w:val="24"/>
                <w:szCs w:val="24"/>
                <w:highlight w:val="none"/>
                <w:lang w:val="en-US" w:eastAsia="zh-CN"/>
              </w:rPr>
              <w:t xml:space="preserve">提供加盖业主单位公章的工作经验证明材料。</w:t>
            </w:r>
            <w:r/>
          </w:p>
          <w:p>
            <w:pPr>
              <w:numPr>
                <w:ilvl w:val="0"/>
                <w:numId w:val="0"/>
              </w:numPr>
              <w:spacing w:line="400" w:lineRule="exact"/>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(2)</w:t>
            </w:r>
            <w:r>
              <w:rPr>
                <w:rFonts w:hint="default" w:ascii="宋体" w:hAnsi="宋体" w:eastAsia="宋体" w:cs="宋体"/>
                <w:b w:val="0"/>
                <w:bCs/>
                <w:sz w:val="24"/>
                <w:szCs w:val="24"/>
                <w:highlight w:val="none"/>
                <w:lang w:val="en-US" w:eastAsia="zh-CN"/>
              </w:rPr>
              <w:t xml:space="preserve">项目负责人业绩可以与投标人业绩重复得分。</w:t>
            </w:r>
            <w:r/>
          </w:p>
          <w:p>
            <w:pPr>
              <w:numPr>
                <w:ilvl w:val="0"/>
                <w:numId w:val="0"/>
              </w:numPr>
              <w:spacing w:line="400" w:lineRule="exact"/>
              <w:rPr>
                <w:rFonts w:hint="eastAsia" w:ascii="宋体" w:hAnsi="宋体" w:eastAsia="宋体" w:cs="宋体"/>
                <w:b w:val="0"/>
                <w:bCs/>
                <w:sz w:val="24"/>
                <w:szCs w:val="24"/>
                <w:lang w:val="en-US" w:eastAsia="zh-CN"/>
              </w:rPr>
            </w:pPr>
            <w:r>
              <w:rPr>
                <w:rFonts w:hint="eastAsia" w:ascii="宋体" w:hAnsi="宋体" w:eastAsia="宋体" w:cs="宋体"/>
                <w:b/>
                <w:bCs w:val="0"/>
                <w:sz w:val="24"/>
                <w:szCs w:val="24"/>
              </w:rPr>
              <w:t xml:space="preserve">提供项目管理负责人</w:t>
            </w:r>
            <w:r>
              <w:rPr>
                <w:rFonts w:hint="eastAsia" w:ascii="宋体" w:hAnsi="宋体" w:eastAsia="宋体" w:cs="宋体"/>
                <w:b/>
                <w:bCs w:val="0"/>
                <w:sz w:val="24"/>
                <w:szCs w:val="24"/>
                <w:lang w:eastAsia="zh-CN"/>
              </w:rPr>
              <w:t xml:space="preserve">近三个月</w:t>
            </w:r>
            <w:r>
              <w:rPr>
                <w:rFonts w:hint="eastAsia" w:ascii="宋体" w:hAnsi="宋体" w:eastAsia="宋体" w:cs="宋体"/>
                <w:b/>
                <w:bCs w:val="0"/>
                <w:sz w:val="24"/>
                <w:szCs w:val="24"/>
              </w:rPr>
              <w:t xml:space="preserve">的社保证明</w:t>
            </w:r>
            <w:r>
              <w:rPr>
                <w:rFonts w:hint="eastAsia" w:ascii="宋体" w:hAnsi="宋体" w:eastAsia="宋体" w:cs="宋体"/>
                <w:b/>
                <w:bCs w:val="0"/>
                <w:sz w:val="24"/>
                <w:szCs w:val="24"/>
                <w:lang w:eastAsia="zh-CN"/>
              </w:rPr>
              <w:t xml:space="preserve">。</w:t>
            </w:r>
            <w:r/>
          </w:p>
        </w:tc>
        <w:tc>
          <w:tcPr>
            <w:tcW w:w="2887" w:type="dxa"/>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r>
            <w:r/>
          </w:p>
        </w:tc>
      </w:tr>
      <w:tr>
        <w:trPr/>
        <w:tc>
          <w:tcPr>
            <w:tcW w:w="706" w:type="dxa"/>
            <w:vAlign w:val="center"/>
            <w:textDirection w:val="lrTb"/>
            <w:noWrap w:val="false"/>
          </w:tcPr>
          <w:p>
            <w:pPr>
              <w:ind w:firstLine="28"/>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3.3</w:t>
            </w:r>
            <w:r/>
          </w:p>
        </w:tc>
        <w:tc>
          <w:tcPr>
            <w:tcW w:w="1232" w:type="dxa"/>
            <w:vAlign w:val="center"/>
            <w:textDirection w:val="lrTb"/>
            <w:noWrap w:val="false"/>
          </w:tcPr>
          <w:p>
            <w:pPr>
              <w:jc w:val="center"/>
              <w:spacing w:line="400" w:lineRule="exact"/>
              <w:rPr>
                <w:rFonts w:hint="eastAsia" w:ascii="宋体" w:hAnsi="宋体" w:eastAsia="宋体"/>
                <w:sz w:val="24"/>
                <w:szCs w:val="24"/>
                <w:highlight w:val="none"/>
                <w:lang w:eastAsia="zh-CN"/>
              </w:rPr>
            </w:pPr>
            <w:r>
              <w:rPr>
                <w:rFonts w:hint="eastAsia" w:ascii="宋体" w:hAnsi="宋体" w:eastAsia="宋体" w:cs="宋体"/>
                <w:sz w:val="24"/>
                <w:szCs w:val="24"/>
                <w:lang w:eastAsia="zh-CN"/>
              </w:rPr>
              <w:t xml:space="preserve">车辆</w:t>
            </w:r>
            <w:r/>
          </w:p>
        </w:tc>
        <w:tc>
          <w:tcPr>
            <w:tcW w:w="757" w:type="dxa"/>
            <w:vAlign w:val="center"/>
            <w:textDirection w:val="lrTb"/>
            <w:noWrap w:val="false"/>
          </w:tcPr>
          <w:p>
            <w:pPr>
              <w:jc w:val="center"/>
              <w:spacing w:line="400" w:lineRule="exact"/>
              <w:rPr>
                <w:rFonts w:hint="default"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10</w:t>
            </w:r>
            <w:r/>
          </w:p>
        </w:tc>
        <w:tc>
          <w:tcPr>
            <w:tcW w:w="8638" w:type="dxa"/>
            <w:vAlign w:val="center"/>
            <w:textDirection w:val="lrTb"/>
            <w:noWrap w:val="false"/>
          </w:tcPr>
          <w:p>
            <w:p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投标人需配备的车辆：</w:t>
            </w:r>
            <w:r>
              <w:rPr>
                <w:rFonts w:hint="eastAsia" w:ascii="宋体" w:hAnsi="宋体" w:eastAsia="宋体" w:cs="宋体"/>
                <w:sz w:val="24"/>
                <w:szCs w:val="24"/>
                <w:lang w:val="en-US" w:eastAsia="zh-CN"/>
              </w:rPr>
              <w:t xml:space="preserve">高压冲洗车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垃圾收集车、路面清扫车，</w:t>
            </w:r>
            <w:r>
              <w:rPr>
                <w:rFonts w:hint="eastAsia" w:ascii="宋体" w:hAnsi="宋体" w:eastAsia="宋体" w:cs="宋体"/>
                <w:sz w:val="24"/>
                <w:szCs w:val="24"/>
              </w:rPr>
              <w:t xml:space="preserve">每有1辆得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cs="宋体"/>
                <w:b/>
                <w:bCs/>
                <w:sz w:val="24"/>
                <w:szCs w:val="24"/>
                <w:highlight w:val="none"/>
                <w:lang w:val="en-US" w:eastAsia="zh-CN"/>
              </w:rPr>
              <w:t xml:space="preserve">自有车辆需</w:t>
            </w:r>
            <w:r>
              <w:rPr>
                <w:rFonts w:hint="eastAsia" w:ascii="宋体" w:hAnsi="宋体" w:cs="宋体"/>
                <w:b/>
                <w:bCs/>
                <w:sz w:val="24"/>
                <w:szCs w:val="24"/>
                <w:highlight w:val="none"/>
              </w:rPr>
              <w:t xml:space="preserve">提供车辆购买发票等证明材料</w:t>
            </w:r>
            <w:r>
              <w:rPr>
                <w:rFonts w:hint="eastAsia" w:cs="宋体"/>
                <w:b/>
                <w:bCs/>
                <w:sz w:val="24"/>
                <w:szCs w:val="24"/>
                <w:highlight w:val="none"/>
                <w:lang w:val="en-US" w:eastAsia="zh-CN"/>
              </w:rPr>
              <w:t xml:space="preserve">原件扫描件</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租赁车辆需提供租赁协议</w:t>
            </w:r>
            <w:r>
              <w:rPr>
                <w:rFonts w:hint="eastAsia" w:cs="宋体"/>
                <w:b/>
                <w:bCs/>
                <w:sz w:val="24"/>
                <w:szCs w:val="24"/>
                <w:highlight w:val="none"/>
                <w:lang w:val="en-US" w:eastAsia="zh-CN"/>
              </w:rPr>
              <w:t xml:space="preserve">原件扫描件</w:t>
            </w:r>
            <w:r>
              <w:rPr>
                <w:rFonts w:hint="eastAsia" w:ascii="宋体" w:hAnsi="宋体" w:cs="宋体"/>
                <w:b/>
                <w:bCs/>
                <w:sz w:val="24"/>
                <w:szCs w:val="24"/>
                <w:highlight w:val="none"/>
                <w:lang w:val="en-US" w:eastAsia="zh-CN"/>
              </w:rPr>
              <w:t xml:space="preserve">，车辆行驶证以及车辆有限期内保险，证明文件均需加盖</w:t>
            </w:r>
            <w:r>
              <w:rPr>
                <w:rFonts w:hint="eastAsia" w:cs="宋体"/>
                <w:b/>
                <w:bCs/>
                <w:sz w:val="24"/>
                <w:szCs w:val="24"/>
                <w:highlight w:val="none"/>
                <w:lang w:val="en-US" w:eastAsia="zh-CN"/>
              </w:rPr>
              <w:t xml:space="preserve">电子</w:t>
            </w:r>
            <w:r>
              <w:rPr>
                <w:rFonts w:hint="eastAsia" w:ascii="宋体" w:hAnsi="宋体" w:cs="宋体"/>
                <w:b/>
                <w:bCs/>
                <w:sz w:val="24"/>
                <w:szCs w:val="24"/>
                <w:highlight w:val="none"/>
                <w:lang w:val="en-US" w:eastAsia="zh-CN"/>
              </w:rPr>
              <w:t xml:space="preserve">公章，不提供不得分。</w:t>
            </w:r>
            <w:r>
              <w:rPr>
                <w:rFonts w:hint="eastAsia" w:ascii="宋体" w:hAnsi="宋体" w:eastAsia="宋体" w:cs="宋体"/>
                <w:b/>
                <w:bCs/>
                <w:sz w:val="24"/>
                <w:szCs w:val="24"/>
              </w:rPr>
              <w:t xml:space="preserve">）</w:t>
            </w:r>
            <w:r/>
          </w:p>
        </w:tc>
        <w:tc>
          <w:tcPr>
            <w:tcW w:w="2887" w:type="dxa"/>
            <w:vAlign w:val="center"/>
            <w:textDirection w:val="lrTb"/>
            <w:noWrap w:val="false"/>
          </w:tcPr>
          <w:p>
            <w:pPr>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r>
            <w:r/>
          </w:p>
        </w:tc>
      </w:tr>
      <w:tr>
        <w:trPr>
          <w:trHeight w:val="491"/>
        </w:trPr>
        <w:tc>
          <w:tcPr>
            <w:gridSpan w:val="2"/>
            <w:tcW w:w="1938" w:type="dxa"/>
            <w:vAlign w:val="center"/>
            <w:textDirection w:val="lrTb"/>
            <w:noWrap w:val="false"/>
          </w:tcPr>
          <w:p>
            <w:pPr>
              <w:ind w:firstLine="28"/>
              <w:jc w:val="center"/>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总分</w:t>
            </w:r>
            <w:r/>
          </w:p>
        </w:tc>
        <w:tc>
          <w:tcPr>
            <w:tcW w:w="757" w:type="dxa"/>
            <w:vAlign w:val="center"/>
            <w:textDirection w:val="lrTb"/>
            <w:noWrap w:val="false"/>
          </w:tcPr>
          <w:p>
            <w:pPr>
              <w:ind w:firstLine="28"/>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100</w:t>
            </w:r>
            <w:r/>
          </w:p>
        </w:tc>
        <w:tc>
          <w:tcPr>
            <w:tcW w:w="8638" w:type="dxa"/>
            <w:vAlign w:val="center"/>
            <w:textDirection w:val="lrTb"/>
            <w:noWrap w:val="false"/>
          </w:tcPr>
          <w:p>
            <w:pPr>
              <w:rPr>
                <w:rFonts w:hint="eastAsia" w:hAnsi="宋体"/>
                <w:sz w:val="24"/>
                <w:szCs w:val="24"/>
                <w:highlight w:val="none"/>
              </w:rPr>
            </w:pPr>
            <w:r>
              <w:rPr>
                <w:rFonts w:hint="eastAsia" w:hAnsi="宋体"/>
                <w:sz w:val="24"/>
                <w:szCs w:val="24"/>
                <w:highlight w:val="none"/>
              </w:rPr>
            </w:r>
            <w:r/>
          </w:p>
        </w:tc>
        <w:tc>
          <w:tcPr>
            <w:tcW w:w="2887" w:type="dxa"/>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r>
            <w:r/>
          </w:p>
        </w:tc>
      </w:tr>
    </w:tbl>
    <w:p>
      <w:pPr>
        <w:jc w:val="center"/>
        <w:spacing w:line="360" w:lineRule="auto"/>
        <w:rPr>
          <w:b/>
          <w:sz w:val="36"/>
          <w:szCs w:val="36"/>
          <w:highlight w:val="none"/>
        </w:rPr>
        <w:sectPr>
          <w:footnotePr/>
          <w:endnotePr/>
          <w:type w:val="nextPage"/>
          <w:pgSz w:w="16840" w:h="11907" w:orient="landscape"/>
          <w:pgMar w:top="1701" w:right="1418" w:bottom="1134" w:left="1418" w:header="851" w:footer="851" w:gutter="0"/>
          <w:cols w:num="1" w:sep="0" w:space="720" w:equalWidth="1"/>
          <w:docGrid w:linePitch="360"/>
        </w:sectPr>
        <w:outlineLvl w:val="0"/>
      </w:pPr>
      <w:r>
        <w:rPr>
          <w:b/>
          <w:sz w:val="36"/>
          <w:szCs w:val="36"/>
          <w:highlight w:val="none"/>
        </w:rPr>
      </w:r>
      <w:r/>
    </w:p>
    <w:p>
      <w:pPr>
        <w:jc w:val="center"/>
        <w:spacing w:line="360" w:lineRule="auto"/>
        <w:rPr>
          <w:b/>
          <w:sz w:val="36"/>
          <w:szCs w:val="36"/>
          <w:highlight w:val="none"/>
        </w:rPr>
        <w:outlineLvl w:val="0"/>
      </w:pPr>
      <w:r/>
      <w:bookmarkStart w:id="814" w:name="_Toc99301424"/>
      <w:r>
        <w:rPr>
          <w:b/>
          <w:sz w:val="36"/>
          <w:szCs w:val="36"/>
          <w:highlight w:val="none"/>
        </w:rPr>
        <w:t xml:space="preserve">第五章   采购需求</w:t>
      </w:r>
      <w:bookmarkEnd w:id="814"/>
      <w:r/>
      <w:r/>
    </w:p>
    <w:p>
      <w:pPr>
        <w:pStyle w:val="944"/>
        <w:contextualSpacing/>
        <w:ind w:firstLine="480"/>
        <w:jc w:val="left"/>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bookmarkStart w:id="815" w:name="_Toc99301425"/>
      <w:r>
        <w:rPr>
          <w:rFonts w:hint="eastAsia" w:ascii="宋体" w:hAnsi="宋体" w:eastAsia="宋体" w:cs="宋体"/>
          <w:b w:val="0"/>
          <w:bCs/>
          <w:sz w:val="24"/>
          <w:szCs w:val="24"/>
          <w:highlight w:val="none"/>
          <w:lang w:val="en-US" w:eastAsia="zh-CN"/>
        </w:rPr>
        <w:t xml:space="preserve">一、采购标的</w:t>
      </w:r>
      <w:r/>
    </w:p>
    <w:p>
      <w:pPr>
        <w:pStyle w:val="944"/>
        <w:contextualSpacing/>
        <w:ind w:firstLine="480"/>
        <w:jc w:val="left"/>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1.采购标的：溧阳市经济开发区（上兴镇）14个行政村环卫作业市场化运作服务项目</w:t>
      </w:r>
      <w:r>
        <w:rPr>
          <w:rFonts w:hint="eastAsia" w:ascii="宋体" w:hAnsi="宋体" w:cs="宋体"/>
          <w:b w:val="0"/>
          <w:bCs/>
          <w:sz w:val="24"/>
          <w:szCs w:val="24"/>
          <w:highlight w:val="none"/>
          <w:lang w:val="en-US" w:eastAsia="zh-CN"/>
        </w:rPr>
        <w:t xml:space="preserve">（二次）</w:t>
      </w:r>
      <w:r/>
    </w:p>
    <w:p>
      <w:pPr>
        <w:pStyle w:val="944"/>
        <w:contextualSpacing/>
        <w:ind w:firstLine="480"/>
        <w:jc w:val="left"/>
        <w:keepLines w:val="0"/>
        <w:keepNext w:val="0"/>
        <w:pageBreakBefore w:val="0"/>
        <w:spacing w:line="360" w:lineRule="auto"/>
        <w:widowControl w:val="off"/>
        <w:rPr>
          <w:rFonts w:hint="eastAsia" w:ascii="宋体" w:hAnsi="宋体" w:eastAsia="宋体" w:cs="宋体"/>
          <w:b/>
          <w:sz w:val="36"/>
          <w:szCs w:val="36"/>
          <w:highlight w:val="none"/>
          <w:lang w:val="en-US" w:eastAsia="zh-CN"/>
        </w:rPr>
      </w:pPr>
      <w:r>
        <w:rPr>
          <w:rFonts w:hint="eastAsia" w:ascii="宋体" w:hAnsi="宋体" w:eastAsia="宋体" w:cs="宋体"/>
          <w:b w:val="0"/>
          <w:bCs/>
          <w:sz w:val="24"/>
          <w:szCs w:val="24"/>
          <w:highlight w:val="none"/>
          <w:lang w:val="en-US" w:eastAsia="zh-CN"/>
        </w:rPr>
        <w:t xml:space="preserve">2.项目背景：根据常州市农村人居环境整治提升工作部署，为建立科学合理的人居环境整治体系，拟将溧阳市经济开发区（上兴镇）14个行政村的道路清扫保洁、垃圾短驳收集清运；农村生活垃圾、农村厕所粪污、农村生活污水、农业废弃物治理和提升村容村貌、提升建设和管护水平等工作实行一体化市场服务管理。</w:t>
      </w:r>
      <w:r/>
    </w:p>
    <w:p>
      <w:pPr>
        <w:pStyle w:val="944"/>
        <w:numPr>
          <w:ilvl w:val="0"/>
          <w:numId w:val="0"/>
        </w:numPr>
        <w:contextualSpacing/>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bidi="ar-SA"/>
        </w:rPr>
        <w:t xml:space="preserve">二、</w:t>
      </w:r>
      <w:r>
        <w:rPr>
          <w:rFonts w:hint="eastAsia" w:ascii="宋体" w:hAnsi="宋体" w:eastAsia="宋体" w:cs="宋体"/>
          <w:b/>
          <w:color w:val="auto"/>
          <w:sz w:val="24"/>
          <w:szCs w:val="24"/>
        </w:rPr>
        <w:t xml:space="preserve">商务要求</w:t>
      </w:r>
      <w:r/>
    </w:p>
    <w:p>
      <w:pPr>
        <w:contextualSpacing/>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1.实施的期限</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2年。</w:t>
      </w:r>
      <w:r>
        <w:rPr>
          <w:rFonts w:hint="eastAsia" w:ascii="宋体" w:hAnsi="宋体" w:eastAsia="宋体" w:cs="宋体"/>
          <w:sz w:val="24"/>
          <w:highlight w:val="none"/>
          <w:lang w:val="en-US" w:eastAsia="zh-CN"/>
        </w:rPr>
        <w:t xml:space="preserve">其中前2个月为试用作业服务期；试用作业服务期满且考核不低于85分的，双方签订合同；年度考核不低于95分的，双方可续签一次合同。</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2.地点：上兴</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lang w:eastAsia="zh-CN"/>
        </w:rPr>
      </w:pPr>
      <w:r>
        <w:rPr>
          <w:rFonts w:hint="eastAsia" w:ascii="宋体" w:hAnsi="宋体" w:eastAsia="宋体" w:cs="宋体"/>
          <w:color w:val="auto"/>
          <w:sz w:val="24"/>
          <w:lang w:val="en-US" w:eastAsia="zh-CN"/>
        </w:rPr>
        <w:t xml:space="preserve">3.</w:t>
      </w:r>
      <w:r>
        <w:rPr>
          <w:rFonts w:hint="eastAsia" w:ascii="宋体" w:hAnsi="宋体" w:eastAsia="宋体" w:cs="宋体"/>
          <w:sz w:val="24"/>
          <w:lang w:eastAsia="zh-CN"/>
        </w:rPr>
        <w:t xml:space="preserve">付款条件（进度和方式）：</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扣款方式：因考核达不到规定分值等原因，按《</w:t>
      </w:r>
      <w:r>
        <w:rPr>
          <w:rFonts w:hint="eastAsia" w:ascii="宋体" w:hAnsi="宋体" w:eastAsia="宋体" w:cs="宋体"/>
          <w:sz w:val="24"/>
          <w:szCs w:val="24"/>
          <w:highlight w:val="none"/>
          <w:lang w:val="en-US" w:eastAsia="zh-CN"/>
        </w:rPr>
        <w:t xml:space="preserve">溧阳市农村人居环境整治建设标准</w:t>
      </w:r>
      <w:r>
        <w:rPr>
          <w:rFonts w:hint="eastAsia" w:ascii="宋体" w:hAnsi="宋体" w:eastAsia="宋体" w:cs="宋体"/>
          <w:sz w:val="24"/>
          <w:szCs w:val="24"/>
          <w:lang w:val="en-US" w:eastAsia="zh-CN"/>
        </w:rPr>
        <w:t xml:space="preserve">》、《上兴镇环卫作业考评细则》等考核扣款后，作为最终的季度作业服务款。</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付款时间：甲方根据考核结果，于次季度第一个月15日前（含当日）向乙方支付作业服务款。</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付款方式：以转账方式直接转入乙方银行账户。</w:t>
      </w:r>
      <w:r/>
    </w:p>
    <w:p>
      <w:pPr>
        <w:contextualSpacing/>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本项目服务期限为2年，其中前二个月为试用作业服务期。二个月的试用作业服务期是检验中标单位作业服务能力的期限。如二个月的试用作业服务期检验不合格，将不签订作业服务合同。中标单位不得以设备采购、人员招聘、办公经营场所租赁等任何理由向采购人提出经济补偿要求。是否签订作业服务合同，进入正式作业服务期由各</w:t>
      </w:r>
      <w:r>
        <w:rPr>
          <w:rFonts w:hint="eastAsia" w:ascii="宋体" w:hAnsi="宋体" w:eastAsia="宋体" w:cs="宋体"/>
          <w:b/>
          <w:bCs/>
          <w:sz w:val="24"/>
          <w:szCs w:val="24"/>
          <w:highlight w:val="none"/>
          <w:lang w:val="en-US" w:eastAsia="zh-CN"/>
        </w:rPr>
        <w:t xml:space="preserve">行政村认</w:t>
      </w:r>
      <w:r>
        <w:rPr>
          <w:rFonts w:hint="eastAsia" w:ascii="宋体" w:hAnsi="宋体" w:eastAsia="宋体" w:cs="宋体"/>
          <w:b/>
          <w:bCs/>
          <w:sz w:val="24"/>
          <w:szCs w:val="24"/>
          <w:lang w:val="en-US" w:eastAsia="zh-CN"/>
        </w:rPr>
        <w:t xml:space="preserve">定。</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4.实施范围</w:t>
      </w:r>
      <w:r/>
    </w:p>
    <w:tbl>
      <w:tblPr>
        <w:tblStyle w:val="890"/>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967"/>
        <w:gridCol w:w="945"/>
        <w:gridCol w:w="975"/>
        <w:gridCol w:w="1080"/>
        <w:gridCol w:w="1005"/>
        <w:gridCol w:w="1415"/>
        <w:gridCol w:w="1065"/>
      </w:tblGrid>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序号</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行政村</w:t>
            </w:r>
            <w:r/>
          </w:p>
        </w:tc>
        <w:tc>
          <w:tcPr>
            <w:tcW w:w="94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自然村</w:t>
            </w:r>
            <w:r/>
          </w:p>
        </w:tc>
        <w:tc>
          <w:tcPr>
            <w:tcW w:w="97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公厕</w:t>
            </w:r>
            <w:r/>
          </w:p>
        </w:tc>
        <w:tc>
          <w:tcPr>
            <w:tcW w:w="1080"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垃圾亭</w:t>
            </w:r>
            <w:r/>
          </w:p>
        </w:tc>
        <w:tc>
          <w:tcPr>
            <w:tcW w:w="100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散桶</w:t>
            </w:r>
            <w:r/>
          </w:p>
        </w:tc>
        <w:tc>
          <w:tcPr>
            <w:tcW w:w="141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短驳点位</w:t>
            </w:r>
            <w:r/>
          </w:p>
        </w:tc>
        <w:tc>
          <w:tcPr>
            <w:tcW w:w="106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村口塘</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永和</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25</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27</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60</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112</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60</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85</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步村</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21</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110</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40</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23</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52</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涧东</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9</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8</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23</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92</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23</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80</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老河</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17</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5</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陶村</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55</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63</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39</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41</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上兴</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22</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30</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38</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练庄</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23</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156</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65</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11</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8</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东塘</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20</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52</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76</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124</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9</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余巷</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18</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26</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72</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54</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16</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10</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赵沛</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11</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9</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32</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43</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33</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11</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桥东干</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18</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45</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34</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毛家</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21</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27</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230</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60</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75</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13</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缪巷</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19</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87</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63</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61</w:t>
            </w:r>
            <w:r/>
          </w:p>
        </w:tc>
        <w:tc>
          <w:tcPr>
            <w:tcW w:w="106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color w:val="auto"/>
                <w:sz w:val="24"/>
                <w:szCs w:val="24"/>
                <w:vertAlign w:val="baseline"/>
                <w:lang w:val="en-US" w:eastAsia="zh-CN"/>
              </w:rPr>
              <w:t xml:space="preserve">63</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14</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祠堂</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17</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77</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22</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21</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30</w:t>
            </w:r>
            <w:r/>
          </w:p>
        </w:tc>
      </w:tr>
    </w:tbl>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szCs w:val="22"/>
          <w:lang w:val="en-US" w:eastAsia="zh-CN" w:bidi="ar-SA"/>
        </w:rPr>
        <w:t xml:space="preserve">5.</w:t>
      </w:r>
      <w:r>
        <w:rPr>
          <w:rFonts w:hint="eastAsia" w:ascii="宋体" w:hAnsi="宋体" w:eastAsia="宋体" w:cs="宋体"/>
          <w:color w:val="auto"/>
          <w:sz w:val="24"/>
          <w:lang w:val="en-US" w:eastAsia="zh-CN"/>
        </w:rPr>
        <w:t xml:space="preserve">实施内容</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根据《</w:t>
      </w:r>
      <w:r>
        <w:rPr>
          <w:rFonts w:hint="eastAsia" w:ascii="宋体" w:hAnsi="宋体" w:eastAsia="宋体" w:cs="宋体"/>
          <w:color w:val="auto"/>
          <w:sz w:val="24"/>
          <w:lang w:eastAsia="zh-CN"/>
        </w:rPr>
        <w:t xml:space="preserve">溧阳市农村人居环境整治建设标准</w:t>
      </w:r>
      <w:r>
        <w:rPr>
          <w:rFonts w:hint="eastAsia" w:ascii="宋体" w:hAnsi="宋体" w:eastAsia="宋体" w:cs="宋体"/>
          <w:color w:val="auto"/>
          <w:sz w:val="24"/>
          <w:lang w:val="en-US" w:eastAsia="zh-CN"/>
        </w:rPr>
        <w:t xml:space="preserve">》相关要求，实施内容主要包括：</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（1）行政村村域范围内村级道路的保洁及道路两旁的杂草清理（属于溧阳市交通局保洁范围内的道路除外），其中杂草清理至少保证一年两次，3-4月份和10月份各一次。</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（2）自然村范围内的村口塘漂浮白色垃圾及废弃物打捞。</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（3）自然村范围内的房前屋后的门前三包。</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（4）自然村范围内的焚烧痕迹清理（不含田间的秸秆焚烧）。</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（5）自然村范围内的公厕日常保洁，发现设施损坏应及时报修。</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（6）自然村范围内的乱张贴、乱涂写清理等。</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（7）自然村范围内的枯枝烂叶清理。</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（8）自然村范围内的垃圾亭（桶）的清洗、周边保洁和规范摆放。</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（9）自然村范围内的建筑垃圾、装饰垃圾等清理后的场地整洁。</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（10）自然村范围内的乱堆放（无需联系农户可以直接处理的）的清理。</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（11）自然村范围内的垃圾短驳（含门前垃圾分类小桶）。</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（12）自然村范围内的属于中标单位保洁范围内的各类下派案件，配合村委按期整改到位。</w:t>
      </w:r>
      <w:r/>
    </w:p>
    <w:p>
      <w:pPr>
        <w:numPr>
          <w:ilvl w:val="0"/>
          <w:numId w:val="0"/>
        </w:numPr>
        <w:ind w:firstLine="480"/>
        <w:keepLines w:val="0"/>
        <w:keepNext w:val="0"/>
        <w:pageBreakBefore w:val="0"/>
        <w:spacing w:line="360" w:lineRule="auto"/>
        <w:widowControl w:val="off"/>
        <w:tabs>
          <w:tab w:val="left" w:pos="1080" w:leader="none"/>
        </w:tabs>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（13）配合镇村做好行政村村域范围内各类活动的沿线环境卫生保障。</w:t>
      </w:r>
      <w:r/>
    </w:p>
    <w:p>
      <w:pPr>
        <w:pStyle w:val="944"/>
        <w:numPr>
          <w:ilvl w:val="0"/>
          <w:numId w:val="0"/>
        </w:numPr>
        <w:contextualSpacing/>
        <w:ind w:firstLine="482"/>
        <w:jc w:val="left"/>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lang w:val="en-US" w:eastAsia="zh-CN" w:bidi="ar-SA"/>
        </w:rPr>
        <w:t xml:space="preserve">三、</w:t>
      </w:r>
      <w:r>
        <w:rPr>
          <w:rFonts w:hint="eastAsia" w:ascii="宋体" w:hAnsi="宋体" w:eastAsia="宋体" w:cs="宋体"/>
          <w:b/>
          <w:sz w:val="24"/>
          <w:szCs w:val="24"/>
          <w:highlight w:val="none"/>
          <w:lang w:eastAsia="zh-CN"/>
        </w:rPr>
        <w:t xml:space="preserve">技术要求</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1.工作实施标准</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（1）清扫保洁作业要求</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村（组）级道路实行8小时保洁制度（上午6:00-11:00，下午13:00-16:00）。所有道路每天早上七点前完成一次普扫，其余时段巡回保洁。巡回保洁采用定人定岗巡回保洁与快速巡回保洁相结合的模式。遇重大检查时作业方式按发包人的要求执行；高温季节作业时间由发包人另行通知。</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道路清扫应做到“五无五净”，即：无垃圾杂物、无积尘积水、无烟头纸屑、无泼撒污物、无砖石杂草，路面净、边角侧石净、窨井泉眼净、道路隔离设施底部净、环卫设施周边净。道路清扫无死角，无断扫、漏扫，短驳垃圾无漏收，作业区域交界处、清扫道路与户户通道路交接处应扫过3米以上。</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3）道路保洁应快速及时，巡回不间断，确保路面及公厕、垃圾（亭）桶、果壳箱周边干净整洁。白色污染及暴露垃圾滞留时间，村级主干道不得超过20分钟，其余等级道路不得超过30分钟。</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4）下雨天应及时清扫路沟边、隔离栏下泥沙，保持雨水口畅通。降雪天气应及时组织铲雪作业。道路融雪后，路面杂物、垃圾应及时清扫干净。</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5）清扫、保洁后的垃圾应及时收集，按指定方式、指定地点倾倒，不得倒入绿化带或垃圾桶和果壳箱内，不得焚烧垃圾、树叶等。</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6）因天气或其他特殊原因，应及时安排人员做好作业区域的人工清扫工作。</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保洁车辆应密闭完好，每周清洗一次，保持干净整洁，无乱堆乱挂乱张贴。作业时保洁车应紧靠路沿侧石停放，不得影响交通和有碍观瞻。作业完毕，扫帚、畚箕等作业工具应统一放入保洁车内，在指定位置停放。</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8）工作期间，无打堆、串岗、离岗、久坐、闲聊等现象，不得捡拾废品，不做与工作无关的事。</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9）如遇死角、深沟、道路两侧行道树过低过近、垃圾杂物体积过长过大、落叶季节、窨井泉眼不畅通、有杂物或被堵塞等，需组织人工作业。</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（2）乱张贴清除作业要求</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1）各保洁区域内的小广告、乱张贴、乱涂写应当天发现当天清除，存留时间不得超过6小时；对巡查过程中发现的小广告、乱张贴、乱涂写，必须在4小时内予以清除。</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墙砖、马赛克等硬质表面的涂写张贴，应采用油漆溶解剂或水浸、刮除等办法予以清除干净，不留痕迹；外表面为涂料的，应采用相同颜色或相近的涂料，整体有规则地予以同色覆盖，要求覆盖面横平竖直，不得歪斜；</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3）在供电、邮电、广电、照明、交通等设施上的乱张贴应以清洗、铲除为主，如不能彻底清洗的才可以覆盖，且必须同色覆盖，尽量保持原貌；</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4）乱张贴清理后的纸屑必须及时清理干净，做到工完场清。</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（3）公共厕所保洁作业要求</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1）公厕应本着方便村民的原则严格遵守开放时间。一般情况下，公厕不得停用，确因特殊情况需临时停用的，需摆放或张贴停用告示，告知村民。</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2）保洁人员应礼貌待人，主动照顾老弱病残孕等人员；按时作业，作业时应在厕外设作业标志，在厕内不要干扰用厕者；作业完毕后清洗好保洁工具，并妥善保管，不得有碍厕容。</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3）公厕保洁标准应符合下列规定：</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①实行每天二冲洗二保洁制度，上午7：30前完成第一遍冲洗，8：00—10：30巡回保洁；下午13：00—16：30完成第二遍冲洗及巡回保洁，同时每天签到登记。</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②公厕内采光、照明和通风应良好，无明显臭味；墙面、天花板、门窗和隔离板应无积灰、污迹、蛛网，无乱涂乱画；公厕内外墙面应整洁，粉刷应无剥落；地面光洁，无积水。</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③座便器、蹲位应整洁，大便槽两侧应无粪便污物，槽内无积粪；小便槽（斗）应无水锈、尿垢、垃圾，基本无臭味；沟眼、管道保持畅通。</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④公厕内照明灯具、洗手器具、镜子、挂衣钩、烘手器、冲水设备等应完好，无积灰、污物。</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⑤公厕外环境应整洁，无杂物乱堆，保洁工具应放置整齐。公厕四周3—5米范围内，应无垃圾、粪便、污水等污物；无私搭乱建，无杂物，无乱挂、乱堆、乱放现象。</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⑥公厕标志齐全，公厕设有醒目标志牌，方便群众入厕；发现设施破损或遗失后应立即报修；公厕下水道堵塞时应于半天内疏通到位。</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⑦蝇蚊孳生季节应定时喷洒灭蚊蝇药物，有效控制蝇蛆孳生。</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（4）环卫设施清洗及车辆摆放作业要求</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1）垃圾亭、垃圾桶、果壳箱实行一日一清洗制度，遇检查活动时增加清洗频次，应做好巡回保洁。</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垃圾亭（桶）、果壳箱外表面应整洁干净，无污迹、无乱刻画、无乱张贴，垃圾桶内壁应清洗至沿口下三分之一处；设置点周围地面应干净整洁无污迹；垃圾亭（桶）内外地面应整洁，无散落垃圾和堆积杂物，无积留污水。</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（5）垃圾短驳收运</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ff0000"/>
          <w:sz w:val="24"/>
          <w:szCs w:val="24"/>
          <w:lang w:val="en-US" w:eastAsia="zh-CN"/>
        </w:rPr>
      </w:pPr>
      <w:r>
        <w:rPr>
          <w:rFonts w:hint="eastAsia" w:ascii="宋体" w:hAnsi="宋体" w:eastAsia="宋体" w:cs="宋体"/>
          <w:sz w:val="24"/>
          <w:szCs w:val="24"/>
          <w:lang w:val="en-US" w:eastAsia="zh-CN"/>
        </w:rPr>
        <w:t xml:space="preserve">零星乱堆放（房前屋后杂物堆放有序）等整理、废弃卫浴、陶瓷缸物料、废旧家具、装饰垃圾、建筑垃圾（零星）、生活垃圾的短驳收集清运（因路窄垃圾收运车收集不到的点位），上门收集农户门前的小垃圾分类桶。</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2.</w:t>
      </w:r>
      <w:r>
        <w:rPr>
          <w:rFonts w:hint="eastAsia" w:ascii="宋体" w:hAnsi="宋体" w:eastAsia="宋体" w:cs="宋体"/>
          <w:b/>
          <w:bCs/>
          <w:sz w:val="24"/>
          <w:szCs w:val="24"/>
          <w:lang w:val="en-US" w:eastAsia="zh-CN"/>
        </w:rPr>
        <w:t xml:space="preserve">其他要求</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（1）人员工资及相关费用：清扫保洁人员工资标准按不低于2490元/人/月测算，员工意外险按600元/人/年，清扫保洁人员高温费、加班费及各种福利、劳保等费用由中标单位</w:t>
      </w:r>
      <w:r>
        <w:rPr>
          <w:rFonts w:hint="eastAsia" w:ascii="宋体" w:hAnsi="宋体" w:eastAsia="宋体" w:cs="宋体"/>
          <w:sz w:val="24"/>
          <w:szCs w:val="24"/>
          <w:highlight w:val="none"/>
          <w:lang w:val="en-US" w:eastAsia="zh-CN"/>
        </w:rPr>
        <w:t xml:space="preserve">负责</w:t>
      </w:r>
      <w:r>
        <w:rPr>
          <w:rFonts w:hint="eastAsia" w:ascii="宋体" w:hAnsi="宋体" w:eastAsia="宋体" w:cs="宋体"/>
          <w:sz w:val="24"/>
          <w:szCs w:val="24"/>
          <w:lang w:val="en-US" w:eastAsia="zh-CN"/>
        </w:rPr>
        <w:t xml:space="preserve">。</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（2）其它费用由投标人自行测算报价。</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1）中标单位应缴的税金按综合税率6%考虑；所有费用应提供相应计算式。</w:t>
      </w:r>
      <w:r/>
    </w:p>
    <w:p>
      <w:pPr>
        <w:numPr>
          <w:ilvl w:val="0"/>
          <w:numId w:val="0"/>
        </w:numPr>
        <w:ind w:firstLine="480"/>
        <w:jc w:val="both"/>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2）其他各项内容按照有关规定测算。</w:t>
      </w:r>
      <w:r/>
    </w:p>
    <w:p>
      <w:pPr>
        <w:numPr>
          <w:ilvl w:val="0"/>
          <w:numId w:val="0"/>
        </w:numPr>
        <w:ind w:firstLine="480"/>
        <w:jc w:val="both"/>
        <w:spacing w:line="360" w:lineRule="auto"/>
        <w:tabs>
          <w:tab w:val="left" w:pos="1080"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numPr>
          <w:ilvl w:val="0"/>
          <w:numId w:val="0"/>
        </w:numPr>
        <w:ind w:firstLine="480"/>
        <w:jc w:val="both"/>
        <w:spacing w:line="360" w:lineRule="auto"/>
        <w:tabs>
          <w:tab w:val="left" w:pos="1080"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pStyle w:val="944"/>
        <w:numPr>
          <w:ilvl w:val="0"/>
          <w:numId w:val="0"/>
        </w:numPr>
        <w:contextualSpacing/>
        <w:ind w:firstLine="0"/>
        <w:jc w:val="center"/>
        <w:spacing w:line="360" w:lineRule="auto"/>
        <w:rPr>
          <w:b/>
          <w:sz w:val="36"/>
          <w:szCs w:val="36"/>
          <w:highlight w:val="none"/>
        </w:rPr>
      </w:pPr>
      <w:r>
        <w:rPr>
          <w:rFonts w:hint="eastAsia" w:ascii="宋体" w:hAnsi="宋体" w:cs="宋体"/>
          <w:b/>
          <w:sz w:val="36"/>
          <w:szCs w:val="36"/>
          <w:highlight w:val="none"/>
        </w:rPr>
        <w:t xml:space="preserve">第</w:t>
      </w:r>
      <w:r>
        <w:rPr>
          <w:rFonts w:hint="eastAsia" w:ascii="宋体" w:hAnsi="宋体" w:cs="宋体"/>
          <w:b/>
          <w:sz w:val="36"/>
          <w:szCs w:val="36"/>
          <w:highlight w:val="none"/>
          <w:lang w:eastAsia="zh-CN"/>
        </w:rPr>
        <w:t xml:space="preserve">六</w:t>
      </w:r>
      <w:r>
        <w:rPr>
          <w:rFonts w:hint="eastAsia" w:ascii="宋体" w:hAnsi="宋体" w:cs="宋体"/>
          <w:b/>
          <w:sz w:val="36"/>
          <w:szCs w:val="36"/>
          <w:highlight w:val="none"/>
        </w:rPr>
        <w:t xml:space="preserve">章   </w:t>
      </w:r>
      <w:r>
        <w:rPr>
          <w:b/>
          <w:sz w:val="36"/>
          <w:szCs w:val="36"/>
          <w:highlight w:val="none"/>
        </w:rPr>
        <w:t xml:space="preserve">拟签订的合同文本</w:t>
      </w:r>
      <w:r/>
    </w:p>
    <w:p>
      <w:pPr>
        <w:ind w:firstLine="487"/>
        <w:jc w:val="center"/>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环卫作业服务合同</w:t>
      </w:r>
      <w:r/>
    </w:p>
    <w:p>
      <w:pPr>
        <w:pStyle w:val="869"/>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甲方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p>
    <w:p>
      <w:pPr>
        <w:pStyle w:val="869"/>
        <w:ind w:firstLine="482"/>
        <w:keepLines w:val="0"/>
        <w:keepNext w:val="0"/>
        <w:pageBreakBefore w:val="0"/>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乙方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合同时间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年   月   日 </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lang w:eastAsia="zh-CN"/>
        </w:rPr>
        <w:t xml:space="preserve">代理</w:t>
      </w:r>
      <w:r>
        <w:rPr>
          <w:rFonts w:hint="eastAsia" w:ascii="宋体" w:hAnsi="宋体" w:eastAsia="宋体" w:cs="宋体"/>
          <w:b/>
          <w:color w:val="auto"/>
          <w:sz w:val="24"/>
          <w:szCs w:val="24"/>
          <w:highlight w:val="none"/>
        </w:rPr>
        <w:t xml:space="preserve">机构：</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  合同编号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》以及有关法律、法规的规定，遵循平等、自愿、公平和诚实信用的原则，甲方、乙方经协商一致，订立本合同。</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一、项目清单及合同金额（详见报价表，附后）</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         </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 </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详见乙方报价表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4.合同金额：人民币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 )。</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5.合同服务期：作业服务时间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考核不合格的，甲方有权单方终止合同续签事宜</w:t>
      </w:r>
      <w:r>
        <w:rPr>
          <w:rFonts w:hint="eastAsia" w:ascii="宋体" w:hAnsi="宋体" w:eastAsia="宋体" w:cs="宋体"/>
          <w:color w:val="auto"/>
          <w:sz w:val="24"/>
          <w:szCs w:val="24"/>
          <w:highlight w:val="none"/>
        </w:rPr>
        <w:t xml:space="preserve">。</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sz w:val="24"/>
          <w:highlight w:val="none"/>
          <w:lang w:val="en-US" w:eastAsia="zh-CN"/>
        </w:rPr>
        <w:t xml:space="preserve">其中前2个月为试用作业服务期；试用作业服务期满且考核不低于85分的，双方签订合同；年度考核不低于95分的，双方可续签一次合同。</w:t>
      </w:r>
      <w:r/>
    </w:p>
    <w:p>
      <w:pPr>
        <w:ind w:firstLine="484"/>
        <w:keepLines w:val="0"/>
        <w:keepNext w:val="0"/>
        <w:pageBreakBefore w:val="0"/>
        <w:spacing w:line="480" w:lineRule="exact"/>
        <w:widowControl w:val="off"/>
        <w:tabs>
          <w:tab w:val="left" w:pos="0" w:leader="none"/>
          <w:tab w:val="left" w:pos="709"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6、项目负责人：</w:t>
      </w:r>
      <w:r>
        <w:rPr>
          <w:rFonts w:hint="eastAsia" w:ascii="宋体" w:hAnsi="宋体" w:eastAsia="宋体" w:cs="宋体"/>
          <w:color w:val="auto"/>
          <w:sz w:val="24"/>
          <w:szCs w:val="24"/>
          <w:highlight w:val="none"/>
          <w:u w:val="single"/>
          <w:lang w:val="en-US" w:eastAsia="zh-CN"/>
        </w:rPr>
        <w:t xml:space="preserve">    </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二、甲方权利和义务：</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w:t>
      </w:r>
      <w:r>
        <w:rPr>
          <w:rFonts w:hint="eastAsia" w:ascii="宋体" w:hAnsi="宋体" w:eastAsia="宋体" w:cs="宋体"/>
          <w:sz w:val="24"/>
          <w:szCs w:val="24"/>
          <w:highlight w:val="none"/>
          <w:lang w:val="en-US" w:eastAsia="zh-CN"/>
        </w:rPr>
        <w:t xml:space="preserve">溧阳市农村人居环境整治建设标准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《上兴镇环卫作业服务要求》和《上兴镇环卫作业考</w:t>
      </w:r>
      <w:r>
        <w:rPr>
          <w:rFonts w:hint="eastAsia" w:ascii="宋体" w:hAnsi="宋体" w:eastAsia="宋体" w:cs="宋体"/>
          <w:color w:val="auto"/>
          <w:sz w:val="24"/>
          <w:szCs w:val="24"/>
          <w:highlight w:val="none"/>
          <w:lang w:val="en-US" w:eastAsia="zh-CN"/>
        </w:rPr>
        <w:t xml:space="preserve">核</w:t>
      </w:r>
      <w:r>
        <w:rPr>
          <w:rFonts w:hint="eastAsia" w:ascii="宋体" w:hAnsi="宋体" w:eastAsia="宋体" w:cs="宋体"/>
          <w:color w:val="auto"/>
          <w:sz w:val="24"/>
          <w:szCs w:val="24"/>
          <w:highlight w:val="none"/>
        </w:rPr>
        <w:t xml:space="preserve">细则》，对乙方作业服务及履行合同情况进行考核和指导。</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2、就本项目作业考核结果，按</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向乙方支付承包费。</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3、听取乙方提出的建议并给予答复。</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4、监督乙方履行承诺。</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5、如服务过程中工程量减少，超过5%甲方根据实际工作量进行核减。</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三、乙方权利和义务</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1、根据《</w:t>
      </w:r>
      <w:r>
        <w:rPr>
          <w:rFonts w:hint="eastAsia" w:ascii="宋体" w:hAnsi="宋体" w:eastAsia="宋体" w:cs="宋体"/>
          <w:sz w:val="24"/>
          <w:szCs w:val="24"/>
          <w:highlight w:val="none"/>
          <w:lang w:val="en-US" w:eastAsia="zh-CN"/>
        </w:rPr>
        <w:t xml:space="preserve">溧阳市农村人居环境整治建设标准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《上兴镇环卫作业服务要求》和《上兴镇环卫作业考</w:t>
      </w:r>
      <w:r>
        <w:rPr>
          <w:rFonts w:hint="eastAsia" w:ascii="宋体" w:hAnsi="宋体" w:eastAsia="宋体" w:cs="宋体"/>
          <w:color w:val="auto"/>
          <w:sz w:val="24"/>
          <w:szCs w:val="24"/>
          <w:highlight w:val="none"/>
          <w:lang w:val="en-US" w:eastAsia="zh-CN"/>
        </w:rPr>
        <w:t xml:space="preserve">核</w:t>
      </w:r>
      <w:r>
        <w:rPr>
          <w:rFonts w:hint="eastAsia" w:ascii="宋体" w:hAnsi="宋体" w:eastAsia="宋体" w:cs="宋体"/>
          <w:color w:val="auto"/>
          <w:sz w:val="24"/>
          <w:szCs w:val="24"/>
          <w:highlight w:val="none"/>
        </w:rPr>
        <w:t xml:space="preserve">细则》和投标文件所作的承诺组织</w:t>
      </w:r>
      <w:r>
        <w:rPr>
          <w:rFonts w:hint="eastAsia" w:ascii="宋体" w:hAnsi="宋体" w:eastAsia="宋体" w:cs="宋体"/>
          <w:sz w:val="24"/>
          <w:szCs w:val="24"/>
          <w:lang w:val="en-US" w:eastAsia="zh-CN"/>
        </w:rPr>
        <w:t xml:space="preserve">全面治理农村生活垃圾、农村厕所粪污、农村生活污水、农业废弃物、提升村容村貌、提升建设和管护水平等六方面内容，共设置行政村和自然村25项指标。行政村区域</w:t>
      </w:r>
      <w:r>
        <w:rPr>
          <w:rFonts w:hint="eastAsia" w:ascii="宋体" w:hAnsi="宋体" w:eastAsia="宋体" w:cs="宋体"/>
          <w:sz w:val="24"/>
          <w:szCs w:val="24"/>
        </w:rPr>
        <w:t xml:space="preserve">道路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镇、村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清扫保洁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除市交通管理部门路面清洗外</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道路两侧可视性范围内垃圾</w:t>
      </w:r>
      <w:r>
        <w:rPr>
          <w:rFonts w:hint="eastAsia" w:ascii="宋体" w:hAnsi="宋体" w:eastAsia="宋体" w:cs="宋体"/>
          <w:sz w:val="24"/>
          <w:szCs w:val="24"/>
        </w:rPr>
        <w:t xml:space="preserve">清捡</w:t>
      </w:r>
      <w:r>
        <w:rPr>
          <w:rFonts w:hint="eastAsia" w:ascii="宋体" w:hAnsi="宋体" w:eastAsia="宋体" w:cs="宋体"/>
          <w:color w:val="auto"/>
          <w:sz w:val="24"/>
          <w:szCs w:val="24"/>
          <w:highlight w:val="none"/>
        </w:rPr>
        <w:t xml:space="preserve">等环卫作业服务。确保作业</w:t>
      </w:r>
      <w:r>
        <w:rPr>
          <w:rFonts w:hint="eastAsia" w:ascii="宋体" w:hAnsi="宋体" w:eastAsia="宋体" w:cs="宋体"/>
          <w:color w:val="auto"/>
          <w:sz w:val="24"/>
          <w:szCs w:val="24"/>
          <w:highlight w:val="none"/>
          <w:lang w:eastAsia="zh-CN"/>
        </w:rPr>
        <w:t xml:space="preserve">干净整洁。</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2、为保证作业的正常有效开展，乙方负责组成固定的专业服务队伍，按要求提交作业计划和预案，经甲方认可并备案。</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3、接受甲方和相关管理部门的考核及其结果。</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4、独立承担环卫作业中的安全责任和经济赔偿。</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5、在任何情况下（如灾害天气期间或重大活动期间），乙方均应保质保量按时完成甲方或政府主管部门安排的指令性任务。</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6、自觉执行国家的法律、法规，按规定签订劳动用工合同，作业及管理人员工资按溧阳市有关规定执行，独立处理劳资纠纷等工作。</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pacing w:val="0"/>
          <w:sz w:val="24"/>
          <w:szCs w:val="24"/>
          <w:highlight w:val="none"/>
        </w:rPr>
        <w:t xml:space="preserve">接受甲方和社会监督，对存在的问题在指定时间内整改到位，并将整改结果报甲方。</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8、准时参加甲方召开的会议。</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9、向甲方提出合理化建议。</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四、价格与支付</w:t>
      </w:r>
      <w:r>
        <w:rPr>
          <w:rFonts w:hint="eastAsia" w:ascii="宋体" w:hAnsi="宋体" w:eastAsia="宋体" w:cs="宋体"/>
          <w:color w:val="auto"/>
          <w:sz w:val="24"/>
          <w:szCs w:val="24"/>
          <w:highlight w:val="none"/>
        </w:rPr>
        <w:tab/>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1、合同基准价格按此次中标价格执行，合同总金额为人民币（大写）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元（分解至每</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支付金额为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元，分解后余额为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元，余额在第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次一起支付）。如按附件二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上兴镇</w:t>
      </w:r>
      <w:r>
        <w:rPr>
          <w:rFonts w:hint="eastAsia" w:ascii="宋体" w:hAnsi="宋体" w:eastAsia="宋体" w:cs="宋体"/>
          <w:color w:val="auto"/>
          <w:sz w:val="24"/>
          <w:szCs w:val="24"/>
          <w:highlight w:val="none"/>
        </w:rPr>
        <w:t xml:space="preserve">环卫作业考</w:t>
      </w:r>
      <w:r>
        <w:rPr>
          <w:rFonts w:hint="eastAsia" w:ascii="宋体" w:hAnsi="宋体" w:eastAsia="宋体" w:cs="宋体"/>
          <w:color w:val="auto"/>
          <w:sz w:val="24"/>
          <w:szCs w:val="24"/>
          <w:highlight w:val="none"/>
          <w:lang w:val="en-US" w:eastAsia="zh-CN"/>
        </w:rPr>
        <w:t xml:space="preserve">核</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lang w:val="en-US" w:eastAsia="zh-CN"/>
        </w:rPr>
        <w:t xml:space="preserve">溧阳市农村人居环境整治建设标准</w:t>
      </w:r>
      <w:r>
        <w:rPr>
          <w:rFonts w:hint="eastAsia" w:ascii="宋体" w:hAnsi="宋体" w:eastAsia="宋体" w:cs="宋体"/>
          <w:color w:val="auto"/>
          <w:sz w:val="24"/>
          <w:szCs w:val="24"/>
          <w:highlight w:val="none"/>
        </w:rPr>
        <w:t xml:space="preserve">》规定发生扣款，在</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度作业服务款中扣除。</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2、付款及扣款方式：</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付款主体：甲方。</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扣款方式：因考核达不到规定分值等原因，按《</w:t>
      </w:r>
      <w:r>
        <w:rPr>
          <w:rFonts w:hint="eastAsia" w:ascii="宋体" w:hAnsi="宋体" w:eastAsia="宋体" w:cs="宋体"/>
          <w:sz w:val="24"/>
          <w:szCs w:val="24"/>
          <w:highlight w:val="none"/>
          <w:lang w:val="en-US" w:eastAsia="zh-CN"/>
        </w:rPr>
        <w:t xml:space="preserve">溧阳市农村人居环境整治建设标准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《上兴镇环卫作业考评细则》考核扣款后，作为最终的</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度作业服务款。</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付款时间：甲方根据</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考核结果，于次季度第一个月15日前（含当日）向乙方支付作业服务款。</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付款方式：以转账方式直接转入乙方银行账户。</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乙方结算时所开具的发票须是增值税专用发票。</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五、环卫作业权的交付和回收</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甲方应于合同签订后，于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日向乙方交付环卫作业权，乙方应于合同期满当日无条件向甲方交还环卫作业权。甲乙双方应提前15天进行交接手续和准备，确保准时交接。</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六、违约责任</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1、合同一方不履行合同义务或违反履行合同义务约定的，应当承担继续履行、采取补救措施或者赔偿损失等违约责任。</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2、在合同生效后，甲方无故拒绝乙方，应向乙方偿付合同总金额的5%，作为违约金，违约金不足以补偿损失的，乙方有权要求甲方补足。</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3、甲方逾期付款应按照逾期付款金额的每日万分之四支付逾期付款违约金，甲方逾期付款超过十五天乙方有权要求甲方另行补偿乙方损失。</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七、不可抗力</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1、因不可抗力（或甲、乙双方不能控制的原因）不能履行合同的，根据不可抗力的影响，部分或者全部免除责任，但合同一方迟延履行后发生不可抗力的，不能免除其责任。</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八、合同生效及其它</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合同经双方签字并盖章后即生效。</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九、合同的解除和转让</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2、有下列情况之一，合同方可以解除合同：</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①因不可抗力致使不能实现合同目的，未受不可抗力影响的一方有权解除合同；</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②因合同一方违约导致合同不能履行，另一方有权解除合同。</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3、有权解除合同的一方，应当在违约事实或不可抗力发生之后30天内书面通知对方提出解除合同，合同在书面通知到达对方时解除。</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4、合同的部分或全部都不得转包或分包。</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十、履约保证金</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1、为保证合同顺利执行，按采购文件的约定，向甲方交纳履约</w:t>
      </w:r>
      <w:r>
        <w:rPr>
          <w:rFonts w:hint="eastAsia" w:ascii="宋体" w:hAnsi="宋体" w:eastAsia="宋体" w:cs="宋体"/>
          <w:color w:val="auto"/>
          <w:sz w:val="24"/>
          <w:szCs w:val="24"/>
          <w:highlight w:val="none"/>
          <w:lang w:eastAsia="zh-CN"/>
        </w:rPr>
        <w:t xml:space="preserve">担保</w:t>
      </w:r>
      <w:r>
        <w:rPr>
          <w:rFonts w:hint="eastAsia" w:ascii="宋体" w:hAnsi="宋体" w:eastAsia="宋体" w:cs="宋体"/>
          <w:color w:val="auto"/>
          <w:sz w:val="24"/>
          <w:szCs w:val="24"/>
          <w:highlight w:val="none"/>
        </w:rPr>
        <w:t xml:space="preserve">，履约</w:t>
      </w:r>
      <w:r>
        <w:rPr>
          <w:rFonts w:hint="eastAsia" w:ascii="宋体" w:hAnsi="宋体" w:eastAsia="宋体" w:cs="宋体"/>
          <w:color w:val="auto"/>
          <w:sz w:val="24"/>
          <w:szCs w:val="24"/>
          <w:highlight w:val="none"/>
          <w:lang w:eastAsia="zh-CN"/>
        </w:rPr>
        <w:t xml:space="preserve">担保</w:t>
      </w:r>
      <w:r>
        <w:rPr>
          <w:rFonts w:hint="eastAsia" w:ascii="宋体" w:hAnsi="宋体" w:eastAsia="宋体" w:cs="宋体"/>
          <w:color w:val="auto"/>
          <w:sz w:val="24"/>
          <w:szCs w:val="24"/>
          <w:highlight w:val="none"/>
        </w:rPr>
        <w:t xml:space="preserve">为中标价（年运行经费）的10%，履约</w:t>
      </w:r>
      <w:r>
        <w:rPr>
          <w:rFonts w:hint="eastAsia" w:ascii="宋体" w:hAnsi="宋体" w:eastAsia="宋体" w:cs="宋体"/>
          <w:color w:val="auto"/>
          <w:sz w:val="24"/>
          <w:szCs w:val="24"/>
          <w:highlight w:val="none"/>
          <w:lang w:eastAsia="zh-CN"/>
        </w:rPr>
        <w:t xml:space="preserve">担保</w:t>
      </w:r>
      <w:r>
        <w:rPr>
          <w:rFonts w:hint="eastAsia" w:ascii="宋体" w:hAnsi="宋体" w:eastAsia="宋体" w:cs="宋体"/>
          <w:color w:val="auto"/>
          <w:sz w:val="24"/>
          <w:szCs w:val="24"/>
          <w:highlight w:val="none"/>
        </w:rPr>
        <w:t xml:space="preserve">有效期应不低于合同有效期。</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2、乙方不履行合同的履约保证金不予退还，给甲方造成的损失超过履约保证金数额的，还应当对超过部分予以赔偿。但因不可抗力不能履行合同的，不适</w:t>
      </w:r>
      <w:r>
        <w:rPr>
          <w:rFonts w:hint="eastAsia" w:ascii="宋体" w:hAnsi="宋体" w:eastAsia="宋体" w:cs="宋体"/>
          <w:color w:val="auto"/>
          <w:sz w:val="24"/>
          <w:szCs w:val="24"/>
          <w:highlight w:val="none"/>
          <w:lang w:eastAsia="zh-CN"/>
        </w:rPr>
        <w:t xml:space="preserve">用</w:t>
      </w:r>
      <w:r>
        <w:rPr>
          <w:rFonts w:hint="eastAsia" w:ascii="宋体" w:hAnsi="宋体" w:eastAsia="宋体" w:cs="宋体"/>
          <w:color w:val="auto"/>
          <w:sz w:val="24"/>
          <w:szCs w:val="24"/>
          <w:highlight w:val="none"/>
        </w:rPr>
        <w:t xml:space="preserve">此款规定。</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3、履约保证金（无息）将在乙方履行完合同义务，甲方收回环卫作业权完毕后7个工作日内退回乙方。</w:t>
      </w:r>
      <w:r/>
    </w:p>
    <w:p>
      <w:pPr>
        <w:pStyle w:val="871"/>
        <w:ind w:left="99" w:firstLine="350"/>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十一、</w:t>
      </w:r>
      <w:r>
        <w:rPr>
          <w:rFonts w:hint="eastAsia" w:ascii="宋体" w:hAnsi="宋体" w:eastAsia="宋体" w:cs="宋体"/>
          <w:b/>
          <w:bCs/>
          <w:color w:val="auto"/>
          <w:sz w:val="24"/>
          <w:szCs w:val="24"/>
          <w:highlight w:val="none"/>
        </w:rPr>
        <w:t xml:space="preserve">合</w:t>
      </w:r>
      <w:r>
        <w:rPr>
          <w:rFonts w:hint="eastAsia" w:ascii="宋体" w:hAnsi="宋体" w:eastAsia="宋体" w:cs="宋体"/>
          <w:b/>
          <w:color w:val="auto"/>
          <w:sz w:val="24"/>
          <w:szCs w:val="24"/>
          <w:highlight w:val="none"/>
        </w:rPr>
        <w:t xml:space="preserve">同生效及其它</w:t>
      </w:r>
      <w:r/>
    </w:p>
    <w:p>
      <w:pPr>
        <w:pStyle w:val="869"/>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1、生效：</w:t>
      </w:r>
      <w:r>
        <w:rPr>
          <w:rFonts w:hint="eastAsia" w:ascii="宋体" w:hAnsi="宋体" w:eastAsia="宋体" w:cs="宋体"/>
          <w:color w:val="auto"/>
          <w:sz w:val="24"/>
          <w:szCs w:val="24"/>
          <w:highlight w:val="none"/>
        </w:rPr>
        <w:t xml:space="preserve">本合同自三方签字盖章之日起成立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并依法生效。</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2、下列文件均为本合同不可分割的部分：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1）合同书及补充协议</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2）中标通知书</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3）甲乙双方签署的文件、电传、协商纪要等文件</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4）采购文件及其补充文件</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5）投标文件及其补充文件</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十二、争议解决</w:t>
      </w:r>
      <w:r/>
    </w:p>
    <w:p>
      <w:pPr>
        <w:ind w:firstLine="460"/>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甲乙双方因履行本合同发生争议，协商未果，任何一方可向甲方所在地人民法院起诉</w:t>
      </w:r>
      <w:r>
        <w:rPr>
          <w:rFonts w:hint="eastAsia" w:ascii="宋体" w:hAnsi="宋体" w:eastAsia="宋体" w:cs="宋体"/>
          <w:color w:val="auto"/>
          <w:sz w:val="24"/>
          <w:szCs w:val="24"/>
          <w:highlight w:val="none"/>
        </w:rPr>
        <w:t xml:space="preserve">。</w:t>
      </w:r>
      <w:r/>
    </w:p>
    <w:p>
      <w:pPr>
        <w:pStyle w:val="871"/>
        <w:ind w:left="99" w:firstLine="354"/>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十三、本合同一式八份，甲方执三份、乙方执三份、</w:t>
      </w:r>
      <w:r>
        <w:rPr>
          <w:rFonts w:hint="eastAsia" w:ascii="宋体" w:hAnsi="宋体" w:eastAsia="宋体" w:cs="宋体"/>
          <w:b/>
          <w:bCs/>
          <w:color w:val="auto"/>
          <w:sz w:val="24"/>
          <w:szCs w:val="24"/>
          <w:highlight w:val="none"/>
          <w:lang w:eastAsia="zh-CN"/>
        </w:rPr>
        <w:t xml:space="preserve">代理</w:t>
      </w:r>
      <w:r>
        <w:rPr>
          <w:rFonts w:hint="eastAsia" w:ascii="宋体" w:hAnsi="宋体" w:eastAsia="宋体" w:cs="宋体"/>
          <w:b/>
          <w:bCs/>
          <w:color w:val="auto"/>
          <w:sz w:val="24"/>
          <w:szCs w:val="24"/>
          <w:highlight w:val="none"/>
        </w:rPr>
        <w:t xml:space="preserve">机构执二份。</w:t>
      </w:r>
      <w:r/>
    </w:p>
    <w:tbl>
      <w:tblPr>
        <w:tblStyle w:val="855"/>
        <w:tblW w:w="9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69"/>
        <w:gridCol w:w="4714"/>
      </w:tblGrid>
      <w:tr>
        <w:trPr>
          <w:jc w:val="center"/>
          <w:trHeight w:val="285"/>
        </w:trPr>
        <w:tc>
          <w:tcPr>
            <w:tcBorders>
              <w:top w:val="single" w:color="auto" w:sz="12" w:space="0"/>
              <w:left w:val="single" w:color="auto" w:sz="12" w:space="0"/>
              <w:bottom w:val="single" w:color="auto" w:sz="4" w:space="0"/>
              <w:right w:val="single" w:color="auto" w:sz="12" w:space="0"/>
            </w:tcBorders>
            <w:tcW w:w="4369"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p>
        </w:tc>
        <w:tc>
          <w:tcPr>
            <w:tcBorders>
              <w:top w:val="single" w:color="auto" w:sz="12" w:space="0"/>
              <w:left w:val="single" w:color="auto" w:sz="12" w:space="0"/>
              <w:bottom w:val="single" w:color="auto" w:sz="4" w:space="0"/>
              <w:right w:val="single" w:color="auto" w:sz="12" w:space="0"/>
            </w:tcBorders>
            <w:tcW w:w="471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jc w:val="center"/>
          <w:trHeight w:val="240"/>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              </w:t>
            </w:r>
            <w:r/>
          </w:p>
        </w:tc>
      </w:tr>
      <w:tr>
        <w:trPr>
          <w:jc w:val="center"/>
          <w:trHeight w:val="300"/>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r>
      <w:tr>
        <w:trPr>
          <w:jc w:val="center"/>
          <w:trHeight w:val="360"/>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p>
        </w:tc>
      </w:tr>
      <w:tr>
        <w:trPr>
          <w:jc w:val="center"/>
          <w:trHeight w:val="345"/>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val="en-US" w:eastAsia="zh-CN"/>
              </w:rPr>
              <w:t xml:space="preserve">或其授权人</w:t>
            </w:r>
            <w:r>
              <w:rPr>
                <w:rFonts w:hint="eastAsia" w:ascii="宋体" w:hAnsi="宋体" w:eastAsia="宋体" w:cs="宋体"/>
                <w:color w:val="auto"/>
                <w:sz w:val="24"/>
                <w:szCs w:val="24"/>
                <w:highlight w:val="none"/>
              </w:rPr>
              <w:t xml:space="preserve">（签字）：</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val="en-US" w:eastAsia="zh-CN"/>
              </w:rPr>
              <w:t xml:space="preserve">或其授权人</w:t>
            </w:r>
            <w:r>
              <w:rPr>
                <w:rFonts w:hint="eastAsia" w:ascii="宋体" w:hAnsi="宋体" w:eastAsia="宋体" w:cs="宋体"/>
                <w:color w:val="auto"/>
                <w:sz w:val="24"/>
                <w:szCs w:val="24"/>
                <w:highlight w:val="none"/>
              </w:rPr>
              <w:t xml:space="preserve">（签字）：</w:t>
            </w:r>
            <w:r/>
          </w:p>
        </w:tc>
      </w:tr>
      <w:tr>
        <w:trPr>
          <w:jc w:val="center"/>
          <w:trHeight w:val="350"/>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r>
      <w:tr>
        <w:trPr>
          <w:jc w:val="center"/>
          <w:trHeight w:val="365"/>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tc>
      </w:tr>
      <w:tr>
        <w:trPr>
          <w:jc w:val="center"/>
          <w:trHeight w:val="315"/>
        </w:trPr>
        <w:tc>
          <w:tcPr>
            <w:tcBorders>
              <w:top w:val="single" w:color="auto" w:sz="4" w:space="0"/>
              <w:left w:val="single" w:color="auto" w:sz="12" w:space="0"/>
              <w:bottom w:val="single" w:color="auto" w:sz="12"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p>
        </w:tc>
        <w:tc>
          <w:tcPr>
            <w:tcBorders>
              <w:top w:val="single" w:color="auto" w:sz="4" w:space="0"/>
              <w:left w:val="single" w:color="auto" w:sz="12" w:space="0"/>
              <w:bottom w:val="single" w:color="auto" w:sz="12"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p>
        </w:tc>
      </w:tr>
    </w:tbl>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pPr>
      <w:r>
        <w:rPr>
          <w:b/>
          <w:bCs/>
          <w:spacing w:val="-17"/>
        </w:rPr>
        <w:t xml:space="preserve">附件1：</w:t>
      </w:r>
      <w:r/>
    </w:p>
    <w:p>
      <w:pPr>
        <w:pStyle w:val="862"/>
        <w:jc w:val="center"/>
        <w:spacing w:before="55" w:line="225" w:lineRule="auto"/>
        <w:rPr>
          <w:sz w:val="31"/>
          <w:szCs w:val="31"/>
        </w:rPr>
      </w:pPr>
      <w:r>
        <w:rPr>
          <w:b/>
          <w:bCs/>
          <w:spacing w:val="6"/>
          <w:sz w:val="31"/>
          <w:szCs w:val="31"/>
        </w:rPr>
        <w:t xml:space="preserve">上兴镇环卫作业服务要求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具有健全的日常清扫保洁制度、乱张贴清除制度、环卫设施清洗保洁制度、公厕保洁制度、人员管理制度、应急处理制度、自检自查制度。如遇突发事件，采购人有权调用中标人人员和车辆参与应急。作业服务须达到队伍整齐规范、机械设备齐全状态优良、质量优质高效、环境整洁优美的基本要求。同时，根据常州市、溧阳市、上兴镇农村人居环境长效管理测评情况及各行政村考核结果、媒体曝光及群众投诉等情况在总分中直接扣减。</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1.道路人工清扫保洁作业要求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村级道路实行8小时保洁制度（上午6:00-11:00，下午13:00-16:00）。所有道路每天早上七点前完成一次普扫，其余时段巡回保洁。巡回保洁采用定人定岗巡回保洁与快速巡回保洁相结合的模式。遇重大检查时作业方式按采购人的要求执行；高温季节作业时间由采购人另行通知。</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道路清扫应做到“五无五净”，即：无垃圾杂物、无积尘积水、无烟头纸屑、无泼撒污物、无砖石杂草，路面净、边角侧石净、窨井泉眼净、道路隔离设施底部净、环卫设施周边净。道路清扫无死角，无断扫、漏扫，短驳垃圾无漏收，作业区域交界处、清扫道路与户户通道路交接处应扫过3米以上。</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（3）道路保洁应快速及时，巡回不间断，确保路面及公厕、垃圾（亭）桶、果壳箱周边干净整洁。白色污染及暴露垃圾滞留时间，村级主干道不得超过20分钟，其余等级道路不得超过30分钟。</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（4）下雨天应及时清扫路沟边、隔离栏下泥沙，保持雨水口畅通。降雪天气应及时组织铲雪作业。道路融雪后，路面杂物、垃圾应及时清扫干净。</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（5）清扫、保洁后的垃圾应及时收集，按指定方式、指定地点倾倒，不得倒入绿化带或垃圾桶和果壳箱内，不得焚烧垃圾、树叶等。</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（6）因天气或其他特殊原因，机扫车不能作业时，应及时安排人员做好机扫车作业区域的人工清扫工作。</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保洁车辆应密闭完好，每周清洗一次，保持干净整洁，无乱堆乱挂乱张贴。作业时保洁车应紧靠路沿侧石停放，不得影响交通和有碍观瞻。作业完毕，扫帚、畚箕等作业工具应统一放入保洁车内，在指定位置停放。</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（8）工作期间，无打堆、串岗、离岗、久坐、闲聊等现象，不得捡拾废品，不做与工作无关的事。</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（9）如遇死角、深沟、道路两侧行道树过低过近、垃圾杂物体积过长过大、落叶季节、窨井泉眼不畅通、有杂物或被堵塞等，需组织人工作业。</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2.乱张贴清除作业要求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（1）各保洁区域内的小广告、乱张贴、乱涂写应当天发现当天清除，存留时间不得超过6小时；对巡查过程中发现的小广告、乱张贴、乱涂写，必须在4小时内予以清除。</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墙砖、马赛克等硬质表面的涂写张贴，应采用油漆溶解剂或水浸、刮除等办法予以清除干净，不留痕迹；外表面为涂料的，应采用相同颜色或相近的涂料，整体有规则地予以同色覆盖，要求覆盖面横平竖直，不得歪斜；</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（3）在供电、邮电、广电、照明、交通等设施上的乱张贴应以清洗、铲除为主，如不能彻底清洗的才可以覆盖，且必须同色覆盖，尽量保持原貌；</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（4）乱张贴清理后的纸屑必须及时清理干净，做到工完场清。</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3.公共厕所保洁作业要求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（1）公厕应本着方便村民的原则严格遵守开放时间。一般情况下，公厕不得停用，确因特殊情况需临时停用的，需摆放或张贴停用告示，告知村民。</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（2）保洁人员应礼貌待人，主动照顾老弱病残孕等人员；按时作业，作业时应在厕外设作业标志，在厕内不要干扰用厕者；作业完毕后清洗好保洁工具，并妥善保管，不得有碍厕容。</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（3）公厕保洁标准应符合下列规定：</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①实行每天二冲洗二保洁制度，上午7：30前完成第一遍冲洗，8：00—10：30巡回保洁；下午13：00—16：30完成第二遍冲洗及巡回保洁，同时每天签到登记。</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②公厕内采光、照明和通风应良好，无明显臭味；墙面、天花板、门窗和隔离板应无积灰、污迹、蛛网，无乱涂乱画；公厕内外墙面应整洁，粉刷应无剥落；地面光洁，无积水。</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③座便器、蹲位应整洁，大便槽两侧应无粪便污物，槽内无积粪；小便槽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应无水锈、尿垢、垃圾，基本无臭味；沟眼、管道保持畅通。</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④公厕内照明灯具、洗手器具、镜子、挂衣钩、烘手器、冲水设备等应完好，无积灰、污物。</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⑤公厕外环境应整洁，无杂物乱堆，保洁工具应放置整齐。公厕四周3—5米范围内，应无垃圾、粪便、污水等污物；无私搭乱建，无杂物，无乱挂、乱堆、乱放现象。</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⑥公厕标志齐全，公厕设有醒目标志牌，方便群众入厕；发现设施破损或遗失后应立即报修；公厕下水道堵塞时应于半天内疏通到位。</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⑦蝇蚊孳生季节应定时喷洒灭蚊蝇药物，有效控制蝇蛆孳生。</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4.环卫设施清洗及车辆摆放作业要求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（1）垃圾亭、垃圾桶、果壳箱实行一日一清洗制度，遇检查活动时，应做好巡回保洁。</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垃圾亭（桶）、果壳箱外表面应整洁干净，无污迹、无乱刻画、无乱张贴，垃圾桶内壁应清洗至沿口下三分之一处；设置点周围地面应干净整洁无污迹；垃圾亭（桶）内外地面应整洁，无散落垃圾和堆积杂物，无积留污水。</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（3）发现设施损坏，应及时报修。</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5.垃圾短驳收运</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星乱堆放（房前屋后杂物堆放有序）等整理、废弃卫浴、陶瓷缸物料、废旧家具、装饰垃圾、建筑垃圾（零星）、生活垃圾的短驳收集清运（因路窄垃圾收运车收集不到的点位），上门收集农户门前的小垃圾分类桶。</w:t>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pPr>
      <w:r>
        <w:rPr>
          <w:b/>
          <w:bCs/>
          <w:spacing w:val="-13"/>
        </w:rPr>
        <w:t xml:space="preserve">附件2：</w:t>
      </w:r>
      <w:r/>
    </w:p>
    <w:p>
      <w:pPr>
        <w:spacing w:line="343" w:lineRule="auto"/>
        <w:rPr>
          <w:rFonts w:ascii="Arial"/>
          <w:sz w:val="21"/>
        </w:rPr>
      </w:pPr>
      <w:r>
        <w:rPr>
          <w:rFonts w:ascii="Arial"/>
          <w:sz w:val="21"/>
        </w:rPr>
      </w:r>
      <w:r/>
    </w:p>
    <w:p>
      <w:pPr>
        <w:pStyle w:val="862"/>
        <w:jc w:val="center"/>
        <w:spacing w:before="101" w:line="225" w:lineRule="auto"/>
        <w:rPr>
          <w:sz w:val="31"/>
          <w:szCs w:val="31"/>
        </w:rPr>
      </w:pPr>
      <w:r>
        <w:rPr>
          <w:b/>
          <w:bCs/>
          <w:spacing w:val="6"/>
          <w:sz w:val="31"/>
          <w:szCs w:val="31"/>
        </w:rPr>
        <w:t xml:space="preserve">上兴镇环卫作业考核细则</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环卫作业考核实行百分制：环卫作业90分，安全文明生产5分，规范用工5分。同时，根据常州市、溧阳市、上兴镇农村人居环境长效管理组及行政村考核结果、媒体曝光及群众投诉等情况在总分中直接扣减。</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1.环卫作业90分</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（1）道路保洁有下列情形之一的，每项或每处扣1分。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①路面清扫不干净，有边脚泥或灰沙的。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②道路漏扫，短驳垃圾漏收的。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③道路交界处未按规定扫通的。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④窨井泉眼未通的。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⑤乱倒清扫垃圾，焚烧垃圾的。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⑥降雪天气未及时组织铲雪作业，融雪后未及时清扫干净的。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⑦路面有废弃物（包括瓜皮果壳、纸屑/塑膜、烟蒂、痰迹、混凝土、渣土、沙、石、砖、粪便、呕吐物、动物尸体）未在规定时间内清理干净的。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⑧污水、雨水积水未及时清扫的。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⑨道路未按规定时间清扫完毕的。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⑩环卫设施（垃圾亭、垃圾桶、果壳箱等）周边有暴露垃圾的。</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（2）乱张贴清除有下列情形之一的，每项或每处扣1分。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①不按规范对乱张贴进行清除的。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②清除不彻底、覆盖不规整的。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③未在规定时间予以清除的。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④清除完毕未及时清理残留垃圾的。</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（3）公共厕所保洁有下列情形之一的，每项或每处扣1分。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①未按规定时间冲洗完毕的。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②墙面、天花板、门窗和隔离板有积灰、污迹、蛛网，乱涂乱画，地面有积水的。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③座便器、蹲位、大便槽两侧有粪便污物，槽内有积粪；小便槽（斗）有水锈、尿垢、垃圾，厕所内有明显臭味的。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④公厕四周3—5米范围内，有垃圾、粪便、污水等污物；有乱披乱挂、乱堆乱放、乱涂乱贴现象的。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⑤发现设施破损或遗失未立即报修的；公厕下水道堵塞未及时疏通到位的。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⑥蝇蚊孳生季节未定时喷洒灭蚊蝇药物，有蝇蛆孳生的。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⑦未见公厕保洁签到表的。</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（4）环卫设施清洗有下列情形之一的，每项或每处扣1分。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①未按规定次数完成清洗的。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②垃圾亭（桶）、果壳箱外表面有污迹、有乱刻画、乱张贴的，垃圾桶内壁未清洗至沿口下三分之一处的；设置点周围地面有污迹的。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③垃圾亭（桶）内外地面有散落垃圾和堆积杂物、积留污水的，内外墙面有污迹、乱刻画、乱张贴的，四周3—5米范围内，有垃圾、粪便、污水等污物；有乱披乱挂、乱堆乱放、乱涂乱贴现象的。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④发现设施损坏，未及时报修的。</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2.安全文明生产5分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有下列情形之一的，每项或每人扣1分。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①未穿戴作业单位统一规定的反光安全标志服的。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②穿拖鞋上班的。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③保洁车辆在岗作业时车辆停留休息的或作业人员当班闲坐、聊天的。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④作业人员当班围观突发事件或就地闲逛购物的或选择性的捡拾或售卖饮料瓶和硬板纸等废品的。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⑤不文明作业，故意扬尘的。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⑥保洁车辆容貌未保持完好、密闭、整洁、安全的。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⑦电瓶收集车超载、超速、占用快车道的。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⑧作业工具、车辆未紧靠路边停放，或者停靠在公交车站、消防栓旁的。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⑨收集车未在作业方向设置警示标志。</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3.规范用工5分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有下列情形之一的，每项或每人扣1分。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①抽查人员工资发放记录，确有用工不满足规定工资标准的。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②接到有关签订劳动合同投诉属实的。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③接到有关补贴不及时发放的投诉属实的。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④接到有关保险按时缴纳的投诉属实的。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⑤出现5人以上劳资纠纷的。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⑥建立基础</w:t>
      </w:r>
      <w:r>
        <w:rPr>
          <w:rFonts w:hint="eastAsia" w:ascii="宋体" w:hAnsi="宋体" w:eastAsia="宋体" w:cs="宋体"/>
          <w:color w:val="auto"/>
          <w:sz w:val="24"/>
          <w:szCs w:val="24"/>
          <w:highlight w:val="none"/>
          <w:lang w:eastAsia="zh-CN"/>
        </w:rPr>
        <w:t xml:space="preserve">管理台账</w:t>
      </w:r>
      <w:r>
        <w:rPr>
          <w:rFonts w:hint="eastAsia" w:ascii="宋体" w:hAnsi="宋体" w:eastAsia="宋体" w:cs="宋体"/>
          <w:color w:val="auto"/>
          <w:sz w:val="24"/>
          <w:szCs w:val="24"/>
          <w:highlight w:val="none"/>
        </w:rPr>
        <w:t xml:space="preserve">，包括《人员作业情况登记本》、《日常检查情况登记本》</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，每缺1本扣1分，登记不及时的每本每次扣1分。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⑦建立相关管理制度，包括行政管理制度、考勤制度、岗位责任制度、安全生产制度、考核制度，每缺1项制度扣1分。</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4.媒体曝光、群众投诉等情况</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①媒体曝光属实的（以媒体最先曝光时间为扣分记录时间），每项扣3分；群众投诉举报属实的，每项扣2分。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②考评中发现及上级反馈问题通知整改的，在规定的时间内仍未整改的，以及未在一个工作日内反馈整改情况的（反馈情况以书面或电子文档为准），按标准2倍扣分。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③中标人未按时保质保量完成采购人交给的指令性任务，每次扣2分</w:t>
      </w:r>
      <w:r>
        <w:rPr>
          <w:rFonts w:hint="eastAsia" w:ascii="宋体" w:hAnsi="宋体" w:eastAsia="宋体" w:cs="宋体"/>
          <w:color w:val="auto"/>
          <w:sz w:val="24"/>
          <w:szCs w:val="24"/>
          <w:highlight w:val="none"/>
          <w:lang w:eastAsia="zh-CN"/>
        </w:rPr>
        <w:t xml:space="preserve">。</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5.考核实施办法</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①根据本考评细则组织月度考核，采购人采取样本抽查和现场随机检查的方式进行考核，按百分制计分；三个月的平均分为季度考核成绩。</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②采购人取证资料必须做到时间与地点清楚、背景清晰，便于中标人查证核对认可。当日的取证资料只保存七工作日，期内可供中标人查看或复制，过期视为默认。</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③按《</w:t>
      </w:r>
      <w:r>
        <w:rPr>
          <w:rFonts w:hint="eastAsia" w:ascii="宋体" w:hAnsi="宋体" w:eastAsia="宋体" w:cs="宋体"/>
          <w:color w:val="auto"/>
          <w:sz w:val="24"/>
          <w:szCs w:val="24"/>
          <w:highlight w:val="none"/>
          <w:lang w:eastAsia="zh-CN"/>
        </w:rPr>
        <w:t xml:space="preserve">溧阳市农村人居环境整治建设标准</w:t>
      </w:r>
      <w:r>
        <w:rPr>
          <w:rFonts w:hint="eastAsia" w:ascii="宋体" w:hAnsi="宋体" w:eastAsia="宋体" w:cs="宋体"/>
          <w:color w:val="auto"/>
          <w:sz w:val="24"/>
          <w:szCs w:val="24"/>
          <w:highlight w:val="none"/>
        </w:rPr>
        <w:t xml:space="preserve">》进行考核。</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中标人在2个月的试用期内考核结果在85分（不含85分）以下的，作试用期考核不合格处理。采购人将不与中标人签订正式作业服务合同。中标人不得以设备采购、人员招聘、办公经营场所租赁等任何理由向采购人提出经济补偿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⑤中标人在承包期内连续2次或累计3次考核结果在85分（不含85分）以下的，采购人在满足前述条件的次月底前与中标人解除合同。被解除合同的中标人在被解除合同</w:t>
      </w:r>
      <w:r>
        <w:rPr>
          <w:rFonts w:hint="eastAsia" w:ascii="宋体" w:hAnsi="宋体" w:eastAsia="宋体" w:cs="宋体"/>
          <w:color w:val="auto"/>
          <w:sz w:val="24"/>
          <w:szCs w:val="24"/>
          <w:highlight w:val="none"/>
          <w:lang w:eastAsia="zh-CN"/>
        </w:rPr>
        <w:t xml:space="preserve">之</w:t>
      </w:r>
      <w:r>
        <w:rPr>
          <w:rFonts w:hint="eastAsia" w:ascii="宋体" w:hAnsi="宋体" w:eastAsia="宋体" w:cs="宋体"/>
          <w:color w:val="auto"/>
          <w:sz w:val="24"/>
          <w:szCs w:val="24"/>
          <w:highlight w:val="none"/>
        </w:rPr>
        <w:t xml:space="preserve">日起两年内不得参与本市环卫作业投标。</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⑥中标人在各类应急响应工作，市、区重大活动期间因工作不到位造成重大影响的，采购人有权在合同期内提前15天通知中标人解除合同。被解除合同的中标人在被解除合同</w:t>
      </w:r>
      <w:r>
        <w:rPr>
          <w:rFonts w:hint="eastAsia" w:ascii="宋体" w:hAnsi="宋体" w:eastAsia="宋体" w:cs="宋体"/>
          <w:color w:val="auto"/>
          <w:sz w:val="24"/>
          <w:szCs w:val="24"/>
          <w:highlight w:val="none"/>
          <w:lang w:eastAsia="zh-CN"/>
        </w:rPr>
        <w:t xml:space="preserve">之</w:t>
      </w:r>
      <w:r>
        <w:rPr>
          <w:rFonts w:hint="eastAsia" w:ascii="宋体" w:hAnsi="宋体" w:eastAsia="宋体" w:cs="宋体"/>
          <w:color w:val="auto"/>
          <w:sz w:val="24"/>
          <w:szCs w:val="24"/>
          <w:highlight w:val="none"/>
        </w:rPr>
        <w:t xml:space="preserve">日起三年内不得参与本市环卫作业投标。</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⑦中标人不能按时支付本合同规定的各项人员支出的，采购人有权在合同期内提前15天通知中标人解除合同。被解除合同的中标人在被解除合同</w:t>
      </w:r>
      <w:r>
        <w:rPr>
          <w:rFonts w:hint="eastAsia" w:ascii="宋体" w:hAnsi="宋体" w:eastAsia="宋体" w:cs="宋体"/>
          <w:color w:val="auto"/>
          <w:sz w:val="24"/>
          <w:szCs w:val="24"/>
          <w:highlight w:val="none"/>
          <w:lang w:eastAsia="zh-CN"/>
        </w:rPr>
        <w:t xml:space="preserve">之</w:t>
      </w:r>
      <w:r>
        <w:rPr>
          <w:rFonts w:hint="eastAsia" w:ascii="宋体" w:hAnsi="宋体" w:eastAsia="宋体" w:cs="宋体"/>
          <w:color w:val="auto"/>
          <w:sz w:val="24"/>
          <w:szCs w:val="24"/>
          <w:highlight w:val="none"/>
        </w:rPr>
        <w:t xml:space="preserve">日起三年内不得参与本</w:t>
      </w:r>
      <w:r>
        <w:rPr>
          <w:rFonts w:hint="eastAsia" w:ascii="宋体" w:hAnsi="宋体" w:eastAsia="宋体" w:cs="宋体"/>
          <w:color w:val="auto"/>
          <w:sz w:val="24"/>
          <w:szCs w:val="24"/>
          <w:highlight w:val="none"/>
          <w:lang w:val="en-US" w:eastAsia="zh-CN"/>
        </w:rPr>
        <w:t xml:space="preserve">镇</w:t>
      </w:r>
      <w:r>
        <w:rPr>
          <w:rFonts w:hint="eastAsia" w:ascii="宋体" w:hAnsi="宋体" w:eastAsia="宋体" w:cs="宋体"/>
          <w:color w:val="auto"/>
          <w:sz w:val="24"/>
          <w:szCs w:val="24"/>
          <w:highlight w:val="none"/>
        </w:rPr>
        <w:t xml:space="preserve">环卫作业投标。</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⑧被解除合同后的标段由相邻标段中标单位临时代管，作业及考核要求与本合同一致。代管期限最长不得超过3个月，且代管期内遇合同到期则代管自动终止。</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6.本考核实施由上兴镇行政村负责实施，由长效督查办负责</w:t>
      </w:r>
      <w:r>
        <w:rPr>
          <w:rFonts w:hint="eastAsia" w:ascii="宋体" w:hAnsi="宋体" w:eastAsia="宋体" w:cs="宋体"/>
          <w:b/>
          <w:bCs/>
          <w:color w:val="auto"/>
          <w:sz w:val="24"/>
          <w:szCs w:val="24"/>
          <w:highlight w:val="none"/>
          <w:lang w:val="en-US" w:eastAsia="zh-CN"/>
        </w:rPr>
        <w:t xml:space="preserve">督促落实</w:t>
      </w:r>
      <w:r>
        <w:rPr>
          <w:rFonts w:hint="eastAsia" w:ascii="宋体" w:hAnsi="宋体" w:eastAsia="宋体" w:cs="宋体"/>
          <w:b/>
          <w:bCs/>
          <w:color w:val="auto"/>
          <w:sz w:val="24"/>
          <w:szCs w:val="24"/>
          <w:highlight w:val="none"/>
        </w:rPr>
        <w:t xml:space="preserve">。</w:t>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pPr>
      <w:r>
        <w:rPr>
          <w:b/>
          <w:bCs/>
          <w:spacing w:val="-14"/>
        </w:rPr>
        <w:t xml:space="preserve">附件3：</w:t>
      </w:r>
      <w:r/>
    </w:p>
    <w:p>
      <w:pPr>
        <w:ind w:left="1990"/>
        <w:spacing w:before="341" w:line="186" w:lineRule="auto"/>
        <w:rPr>
          <w:rFonts w:ascii="微软雅黑" w:hAnsi="微软雅黑" w:eastAsia="微软雅黑" w:cs="微软雅黑"/>
          <w:sz w:val="40"/>
          <w:szCs w:val="40"/>
        </w:rPr>
      </w:pPr>
      <w:r>
        <w:rPr>
          <w:rFonts w:ascii="微软雅黑" w:hAnsi="微软雅黑" w:eastAsia="微软雅黑" w:cs="微软雅黑"/>
          <w:spacing w:val="-1"/>
          <w:sz w:val="40"/>
          <w:szCs w:val="40"/>
        </w:rPr>
        <w:t xml:space="preserve">溧阳市农村人居环境整治建设标准</w:t>
      </w:r>
      <w:r/>
    </w:p>
    <w:p>
      <w:pPr>
        <w:spacing w:line="166" w:lineRule="exact"/>
      </w:pPr>
      <w:r/>
      <w:r/>
    </w:p>
    <w:tbl>
      <w:tblPr>
        <w:tblStyle w:val="1094"/>
        <w:tblW w:w="99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8"/>
        <w:gridCol w:w="763"/>
        <w:gridCol w:w="1277"/>
        <w:gridCol w:w="2967"/>
        <w:gridCol w:w="583"/>
        <w:gridCol w:w="3248"/>
      </w:tblGrid>
      <w:tr>
        <w:trPr>
          <w:trHeight w:val="350"/>
        </w:trPr>
        <w:tc>
          <w:tcPr>
            <w:tcBorders>
              <w:bottom w:val="none" w:color="000000" w:sz="4" w:space="0"/>
            </w:tcBorders>
            <w:tcW w:w="1128" w:type="dxa"/>
            <w:vAlign w:val="top"/>
            <w:vMerge w:val="restart"/>
            <w:textDirection w:val="lrTb"/>
            <w:noWrap w:val="false"/>
          </w:tcPr>
          <w:p>
            <w:pPr>
              <w:ind w:left="127"/>
              <w:spacing w:before="261" w:line="219" w:lineRule="auto"/>
              <w:rPr>
                <w:rFonts w:ascii="黑体" w:hAnsi="黑体" w:eastAsia="黑体" w:cs="黑体"/>
                <w:sz w:val="22"/>
                <w:szCs w:val="22"/>
              </w:rPr>
            </w:pPr>
            <w:r>
              <w:rPr>
                <w:rFonts w:ascii="黑体" w:hAnsi="黑体" w:eastAsia="黑体" w:cs="黑体"/>
                <w:spacing w:val="-1"/>
                <w:sz w:val="22"/>
                <w:szCs w:val="22"/>
              </w:rPr>
              <w:t xml:space="preserve">评价内容</w:t>
            </w:r>
            <w:r/>
          </w:p>
        </w:tc>
        <w:tc>
          <w:tcPr>
            <w:gridSpan w:val="2"/>
            <w:tcW w:w="2040" w:type="dxa"/>
            <w:vAlign w:val="top"/>
            <w:textDirection w:val="lrTb"/>
            <w:noWrap w:val="false"/>
          </w:tcPr>
          <w:p>
            <w:pPr>
              <w:ind w:left="579"/>
              <w:spacing w:before="86" w:line="213" w:lineRule="auto"/>
              <w:rPr>
                <w:rFonts w:ascii="黑体" w:hAnsi="黑体" w:eastAsia="黑体" w:cs="黑体"/>
                <w:sz w:val="22"/>
                <w:szCs w:val="22"/>
              </w:rPr>
            </w:pPr>
            <w:r>
              <w:rPr>
                <w:rFonts w:ascii="黑体" w:hAnsi="黑体" w:eastAsia="黑体" w:cs="黑体"/>
                <w:spacing w:val="-1"/>
                <w:sz w:val="22"/>
                <w:szCs w:val="22"/>
              </w:rPr>
              <w:t xml:space="preserve">评价指标</w:t>
            </w:r>
            <w:r/>
          </w:p>
        </w:tc>
        <w:tc>
          <w:tcPr>
            <w:tcBorders>
              <w:bottom w:val="none" w:color="000000" w:sz="4" w:space="0"/>
            </w:tcBorders>
            <w:tcW w:w="2967" w:type="dxa"/>
            <w:vAlign w:val="top"/>
            <w:vMerge w:val="restart"/>
            <w:textDirection w:val="lrTb"/>
            <w:noWrap w:val="false"/>
          </w:tcPr>
          <w:p>
            <w:pPr>
              <w:ind w:left="1047"/>
              <w:spacing w:before="261" w:line="219" w:lineRule="auto"/>
              <w:rPr>
                <w:rFonts w:ascii="黑体" w:hAnsi="黑体" w:eastAsia="黑体" w:cs="黑体"/>
                <w:sz w:val="22"/>
                <w:szCs w:val="22"/>
              </w:rPr>
            </w:pPr>
            <w:r>
              <w:rPr>
                <w:rFonts w:ascii="黑体" w:hAnsi="黑体" w:eastAsia="黑体" w:cs="黑体"/>
                <w:spacing w:val="-1"/>
                <w:sz w:val="22"/>
                <w:szCs w:val="22"/>
              </w:rPr>
              <w:t xml:space="preserve">评价标准</w:t>
            </w:r>
            <w:r/>
          </w:p>
        </w:tc>
        <w:tc>
          <w:tcPr>
            <w:tcBorders>
              <w:bottom w:val="none" w:color="000000" w:sz="4" w:space="0"/>
            </w:tcBorders>
            <w:tcW w:w="583" w:type="dxa"/>
            <w:vAlign w:val="top"/>
            <w:vMerge w:val="restart"/>
            <w:textDirection w:val="tbRlV"/>
            <w:noWrap w:val="false"/>
          </w:tcPr>
          <w:p>
            <w:pPr>
              <w:ind w:left="93"/>
              <w:spacing w:before="179" w:line="208" w:lineRule="auto"/>
              <w:rPr>
                <w:rFonts w:ascii="黑体" w:hAnsi="黑体" w:eastAsia="黑体" w:cs="黑体"/>
                <w:sz w:val="22"/>
                <w:szCs w:val="22"/>
              </w:rPr>
            </w:pPr>
            <w:r>
              <w:rPr>
                <w:rFonts w:ascii="黑体" w:hAnsi="黑体" w:eastAsia="黑体" w:cs="黑体"/>
                <w:sz w:val="22"/>
                <w:szCs w:val="22"/>
              </w:rPr>
              <w:t xml:space="preserve">分</w:t>
            </w:r>
            <w:r>
              <w:rPr>
                <w:rFonts w:ascii="黑体" w:hAnsi="黑体" w:eastAsia="黑体" w:cs="黑体"/>
                <w:spacing w:val="8"/>
                <w:sz w:val="22"/>
                <w:szCs w:val="22"/>
              </w:rPr>
              <w:t xml:space="preserve"> </w:t>
            </w:r>
            <w:r>
              <w:rPr>
                <w:rFonts w:ascii="黑体" w:hAnsi="黑体" w:eastAsia="黑体" w:cs="黑体"/>
                <w:sz w:val="22"/>
                <w:szCs w:val="22"/>
              </w:rPr>
              <w:t xml:space="preserve">值</w:t>
            </w:r>
            <w:r/>
          </w:p>
        </w:tc>
        <w:tc>
          <w:tcPr>
            <w:tcBorders>
              <w:bottom w:val="none" w:color="000000" w:sz="4" w:space="0"/>
            </w:tcBorders>
            <w:tcW w:w="3248" w:type="dxa"/>
            <w:vAlign w:val="top"/>
            <w:vMerge w:val="restart"/>
            <w:textDirection w:val="lrTb"/>
            <w:noWrap w:val="false"/>
          </w:tcPr>
          <w:p>
            <w:pPr>
              <w:ind w:left="1187"/>
              <w:spacing w:before="261" w:line="219" w:lineRule="auto"/>
              <w:rPr>
                <w:rFonts w:ascii="黑体" w:hAnsi="黑体" w:eastAsia="黑体" w:cs="黑体"/>
                <w:sz w:val="22"/>
                <w:szCs w:val="22"/>
              </w:rPr>
            </w:pPr>
            <w:r>
              <w:rPr>
                <w:rFonts w:ascii="黑体" w:hAnsi="黑体" w:eastAsia="黑体" w:cs="黑体"/>
                <w:spacing w:val="-1"/>
                <w:sz w:val="22"/>
                <w:szCs w:val="22"/>
              </w:rPr>
              <w:t xml:space="preserve">扣分说明</w:t>
            </w:r>
            <w:r/>
          </w:p>
        </w:tc>
      </w:tr>
      <w:tr>
        <w:trPr>
          <w:trHeight w:val="345"/>
        </w:trPr>
        <w:tc>
          <w:tcPr>
            <w:tcBorders>
              <w:top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164"/>
              <w:spacing w:before="81" w:line="213" w:lineRule="auto"/>
              <w:rPr>
                <w:rFonts w:ascii="黑体" w:hAnsi="黑体" w:eastAsia="黑体" w:cs="黑体"/>
                <w:sz w:val="22"/>
                <w:szCs w:val="22"/>
              </w:rPr>
            </w:pPr>
            <w:r>
              <w:rPr>
                <w:rFonts w:ascii="黑体" w:hAnsi="黑体" w:eastAsia="黑体" w:cs="黑体"/>
                <w:spacing w:val="-2"/>
                <w:sz w:val="22"/>
                <w:szCs w:val="22"/>
              </w:rPr>
              <w:t xml:space="preserve">序号</w:t>
            </w:r>
            <w:r/>
          </w:p>
        </w:tc>
        <w:tc>
          <w:tcPr>
            <w:tcW w:w="1277" w:type="dxa"/>
            <w:vAlign w:val="top"/>
            <w:textDirection w:val="lrTb"/>
            <w:noWrap w:val="false"/>
          </w:tcPr>
          <w:p>
            <w:pPr>
              <w:ind w:left="423"/>
              <w:spacing w:before="81" w:line="213" w:lineRule="auto"/>
              <w:rPr>
                <w:rFonts w:ascii="黑体" w:hAnsi="黑体" w:eastAsia="黑体" w:cs="黑体"/>
                <w:sz w:val="22"/>
                <w:szCs w:val="22"/>
              </w:rPr>
            </w:pPr>
            <w:r>
              <w:rPr>
                <w:rFonts w:ascii="黑体" w:hAnsi="黑体" w:eastAsia="黑体" w:cs="黑体"/>
                <w:spacing w:val="-3"/>
                <w:sz w:val="22"/>
                <w:szCs w:val="22"/>
              </w:rPr>
              <w:t xml:space="preserve">名称</w:t>
            </w:r>
            <w:r/>
          </w:p>
        </w:tc>
        <w:tc>
          <w:tcPr>
            <w:tcBorders>
              <w:top w:val="none" w:color="000000" w:sz="4" w:space="0"/>
            </w:tcBorders>
            <w:tcW w:w="2967" w:type="dxa"/>
            <w:vAlign w:val="top"/>
            <w:vMerge w:val="continue"/>
            <w:textDirection w:val="lrTb"/>
            <w:noWrap w:val="false"/>
          </w:tcPr>
          <w:p>
            <w:pPr>
              <w:rPr>
                <w:rFonts w:ascii="Arial" w:hAnsi="Calibri"/>
                <w:sz w:val="21"/>
              </w:rPr>
            </w:pPr>
            <w:r>
              <w:rPr>
                <w:rFonts w:ascii="Arial" w:hAnsi="Calibri"/>
                <w:sz w:val="21"/>
              </w:rPr>
            </w:r>
            <w:r/>
          </w:p>
        </w:tc>
        <w:tc>
          <w:tcPr>
            <w:tcBorders>
              <w:top w:val="none" w:color="000000" w:sz="4" w:space="0"/>
            </w:tcBorders>
            <w:tcW w:w="583" w:type="dxa"/>
            <w:vAlign w:val="top"/>
            <w:vMerge w:val="continue"/>
            <w:textDirection w:val="tbRlV"/>
            <w:noWrap w:val="false"/>
          </w:tcPr>
          <w:p>
            <w:pPr>
              <w:rPr>
                <w:rFonts w:ascii="Arial" w:hAnsi="Calibri"/>
                <w:sz w:val="21"/>
              </w:rPr>
            </w:pPr>
            <w:r>
              <w:rPr>
                <w:rFonts w:ascii="Arial" w:hAnsi="Calibri"/>
                <w:sz w:val="21"/>
              </w:rPr>
            </w:r>
            <w:r/>
          </w:p>
        </w:tc>
        <w:tc>
          <w:tcPr>
            <w:tcBorders>
              <w:top w:val="none" w:color="000000" w:sz="4" w:space="0"/>
            </w:tcBorders>
            <w:tcW w:w="3248" w:type="dxa"/>
            <w:vAlign w:val="top"/>
            <w:vMerge w:val="continue"/>
            <w:textDirection w:val="lrTb"/>
            <w:noWrap w:val="false"/>
          </w:tcPr>
          <w:p>
            <w:pPr>
              <w:rPr>
                <w:rFonts w:ascii="Arial" w:hAnsi="Calibri"/>
                <w:sz w:val="21"/>
              </w:rPr>
            </w:pPr>
            <w:r>
              <w:rPr>
                <w:rFonts w:ascii="Arial" w:hAnsi="Calibri"/>
                <w:sz w:val="21"/>
              </w:rPr>
            </w:r>
            <w:r/>
          </w:p>
        </w:tc>
      </w:tr>
      <w:tr>
        <w:trPr>
          <w:trHeight w:val="823"/>
        </w:trPr>
        <w:tc>
          <w:tcPr>
            <w:tcW w:w="1128" w:type="dxa"/>
            <w:vAlign w:val="top"/>
            <w:textDirection w:val="lrTb"/>
            <w:noWrap w:val="false"/>
          </w:tcPr>
          <w:p>
            <w:pPr>
              <w:pStyle w:val="1105"/>
              <w:ind w:left="136" w:right="131" w:hanging="6"/>
              <w:spacing w:before="151" w:line="272" w:lineRule="auto"/>
              <w:rPr>
                <w:sz w:val="22"/>
                <w:szCs w:val="22"/>
              </w:rPr>
            </w:pPr>
            <w:r>
              <w:rPr>
                <w:b/>
                <w:bCs/>
                <w:spacing w:val="-16"/>
                <w:sz w:val="22"/>
                <w:szCs w:val="22"/>
              </w:rPr>
              <w:t xml:space="preserve">一、规划</w:t>
            </w:r>
            <w:r>
              <w:rPr>
                <w:spacing w:val="2"/>
                <w:sz w:val="22"/>
                <w:szCs w:val="22"/>
              </w:rPr>
              <w:t xml:space="preserve"> </w:t>
            </w:r>
            <w:r>
              <w:rPr>
                <w:b/>
                <w:bCs/>
                <w:spacing w:val="-9"/>
                <w:sz w:val="22"/>
                <w:szCs w:val="22"/>
              </w:rPr>
              <w:t xml:space="preserve">引领情况</w:t>
            </w:r>
            <w:r/>
          </w:p>
        </w:tc>
        <w:tc>
          <w:tcPr>
            <w:tcW w:w="763" w:type="dxa"/>
            <w:vAlign w:val="top"/>
            <w:textDirection w:val="lrTb"/>
            <w:noWrap w:val="false"/>
          </w:tcPr>
          <w:p>
            <w:pPr>
              <w:spacing w:line="320" w:lineRule="auto"/>
              <w:rPr>
                <w:rFonts w:ascii="Arial" w:hAnsi="Calibri"/>
                <w:sz w:val="21"/>
              </w:rPr>
            </w:pPr>
            <w:r>
              <w:rPr>
                <w:rFonts w:ascii="Arial" w:hAnsi="Calibri"/>
                <w:sz w:val="21"/>
              </w:rPr>
            </w:r>
            <w:r/>
          </w:p>
          <w:p>
            <w:pPr>
              <w:ind w:left="347"/>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1</w:t>
            </w:r>
            <w:r/>
          </w:p>
        </w:tc>
        <w:tc>
          <w:tcPr>
            <w:tcW w:w="1277" w:type="dxa"/>
            <w:vAlign w:val="top"/>
            <w:textDirection w:val="lrTb"/>
            <w:noWrap w:val="false"/>
          </w:tcPr>
          <w:p>
            <w:pPr>
              <w:pStyle w:val="1105"/>
              <w:ind w:left="168" w:right="139" w:hanging="28"/>
              <w:spacing w:before="170" w:line="312" w:lineRule="auto"/>
            </w:pPr>
            <w:r>
              <w:rPr>
                <w:spacing w:val="8"/>
              </w:rPr>
              <w:t xml:space="preserve">村庄规划管</w:t>
            </w:r>
            <w:r>
              <w:rPr>
                <w:spacing w:val="1"/>
              </w:rPr>
              <w:t xml:space="preserve"> </w:t>
            </w:r>
            <w:r>
              <w:rPr>
                <w:spacing w:val="16"/>
              </w:rPr>
              <w:t xml:space="preserve">理（</w:t>
            </w:r>
            <w:r>
              <w:rPr>
                <w:rFonts w:ascii="Times New Roman" w:hAnsi="Times New Roman" w:eastAsia="Times New Roman" w:cs="Times New Roman"/>
                <w:spacing w:val="16"/>
              </w:rPr>
              <w:t xml:space="preserve">5</w:t>
            </w:r>
            <w:r>
              <w:rPr>
                <w:spacing w:val="16"/>
              </w:rPr>
              <w:t xml:space="preserve">分）</w:t>
            </w:r>
            <w:r/>
          </w:p>
        </w:tc>
        <w:tc>
          <w:tcPr>
            <w:tcW w:w="2967" w:type="dxa"/>
            <w:vAlign w:val="top"/>
            <w:textDirection w:val="lrTb"/>
            <w:noWrap w:val="false"/>
          </w:tcPr>
          <w:p>
            <w:pPr>
              <w:pStyle w:val="1105"/>
              <w:ind w:left="117" w:right="259" w:hanging="6"/>
              <w:spacing w:before="170" w:line="312" w:lineRule="auto"/>
            </w:pPr>
            <w:r>
              <w:rPr>
                <w:spacing w:val="9"/>
              </w:rPr>
              <w:t xml:space="preserve">村内各项建设符合国土空间规</w:t>
            </w:r>
            <w:r>
              <w:rPr>
                <w:spacing w:val="2"/>
              </w:rPr>
              <w:t xml:space="preserve"> </w:t>
            </w:r>
            <w:r>
              <w:rPr>
                <w:spacing w:val="8"/>
              </w:rPr>
              <w:t xml:space="preserve">划，无违法用地情况</w:t>
            </w:r>
            <w:r/>
          </w:p>
        </w:tc>
        <w:tc>
          <w:tcPr>
            <w:tcW w:w="583" w:type="dxa"/>
            <w:vAlign w:val="top"/>
            <w:textDirection w:val="lrTb"/>
            <w:noWrap w:val="false"/>
          </w:tcPr>
          <w:p>
            <w:pPr>
              <w:spacing w:line="299" w:lineRule="auto"/>
              <w:rPr>
                <w:rFonts w:ascii="Arial" w:hAnsi="Calibri"/>
                <w:sz w:val="21"/>
              </w:rPr>
            </w:pPr>
            <w:r>
              <w:rPr>
                <w:rFonts w:ascii="Arial" w:hAnsi="Calibri"/>
                <w:sz w:val="21"/>
              </w:rPr>
            </w:r>
            <w:r/>
          </w:p>
          <w:p>
            <w:pPr>
              <w:ind w:left="243"/>
              <w:spacing w:before="64" w:line="184"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t xml:space="preserve">5</w:t>
            </w:r>
            <w:r/>
          </w:p>
        </w:tc>
        <w:tc>
          <w:tcPr>
            <w:tcW w:w="3248" w:type="dxa"/>
            <w:vAlign w:val="top"/>
            <w:textDirection w:val="lrTb"/>
            <w:noWrap w:val="false"/>
          </w:tcPr>
          <w:p>
            <w:pPr>
              <w:spacing w:line="277" w:lineRule="auto"/>
              <w:rPr>
                <w:rFonts w:ascii="Arial" w:hAnsi="Calibri"/>
                <w:sz w:val="21"/>
              </w:rPr>
            </w:pPr>
            <w:r>
              <w:rPr>
                <w:rFonts w:ascii="Arial" w:hAnsi="Calibri"/>
                <w:sz w:val="21"/>
              </w:rPr>
            </w:r>
            <w:r/>
          </w:p>
          <w:p>
            <w:pPr>
              <w:pStyle w:val="1105"/>
              <w:ind w:left="118"/>
              <w:spacing w:before="61" w:line="227" w:lineRule="auto"/>
            </w:pPr>
            <w:r>
              <w:rPr>
                <w:spacing w:val="3"/>
              </w:rPr>
              <w:t xml:space="preserve">有违法用地</w:t>
            </w:r>
            <w:r>
              <w:rPr>
                <w:spacing w:val="-19"/>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7"/>
              </w:rPr>
              <w:t xml:space="preserve"> </w:t>
            </w:r>
            <w:r>
              <w:rPr>
                <w:spacing w:val="3"/>
              </w:rPr>
              <w:t xml:space="preserve">处扣</w:t>
            </w:r>
            <w:r>
              <w:rPr>
                <w:spacing w:val="-41"/>
              </w:rPr>
              <w:t xml:space="preserve"> </w:t>
            </w:r>
            <w:r>
              <w:rPr>
                <w:rFonts w:ascii="Times New Roman" w:hAnsi="Times New Roman" w:eastAsia="Times New Roman" w:cs="Times New Roman"/>
                <w:spacing w:val="3"/>
              </w:rPr>
              <w:t xml:space="preserve">2 </w:t>
            </w:r>
            <w:r>
              <w:rPr>
                <w:spacing w:val="3"/>
              </w:rPr>
              <w:t xml:space="preserve">分</w:t>
            </w:r>
            <w:r/>
          </w:p>
        </w:tc>
      </w:tr>
      <w:tr>
        <w:trPr>
          <w:trHeight w:val="1027"/>
        </w:trPr>
        <w:tc>
          <w:tcPr>
            <w:tcBorders>
              <w:bottom w:val="none" w:color="000000" w:sz="4" w:space="0"/>
            </w:tcBorders>
            <w:tcW w:w="1128" w:type="dxa"/>
            <w:vAlign w:val="top"/>
            <w:vMerge w:val="restart"/>
            <w:textDirection w:val="lrTb"/>
            <w:noWrap w:val="false"/>
          </w:tcPr>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pStyle w:val="1105"/>
              <w:ind w:left="120" w:right="172" w:firstLine="8"/>
              <w:spacing w:before="72" w:line="292" w:lineRule="auto"/>
            </w:pPr>
            <w:r>
              <w:rPr>
                <w:b/>
                <w:bCs/>
                <w:spacing w:val="-2"/>
                <w:sz w:val="22"/>
                <w:szCs w:val="22"/>
              </w:rPr>
              <w:t xml:space="preserve">二、</w:t>
            </w:r>
            <w:r>
              <w:rPr>
                <w:b/>
                <w:bCs/>
                <w:spacing w:val="-2"/>
              </w:rPr>
              <w:t xml:space="preserve">整治</w:t>
            </w:r>
            <w:r>
              <w:t xml:space="preserve"> </w:t>
            </w:r>
            <w:r>
              <w:rPr>
                <w:b/>
                <w:bCs/>
                <w:spacing w:val="5"/>
              </w:rPr>
              <w:t xml:space="preserve">工作成效</w:t>
            </w:r>
            <w:r/>
          </w:p>
        </w:tc>
        <w:tc>
          <w:tcPr>
            <w:tcW w:w="763" w:type="dxa"/>
            <w:vAlign w:val="top"/>
            <w:textDirection w:val="lrTb"/>
            <w:noWrap w:val="false"/>
          </w:tcPr>
          <w:p>
            <w:pPr>
              <w:spacing w:line="421" w:lineRule="auto"/>
              <w:rPr>
                <w:rFonts w:ascii="Arial" w:hAnsi="Calibri"/>
                <w:sz w:val="21"/>
              </w:rPr>
            </w:pPr>
            <w:r>
              <w:rPr>
                <w:rFonts w:ascii="Arial" w:hAnsi="Calibri"/>
                <w:sz w:val="21"/>
              </w:rPr>
            </w:r>
            <w:r/>
          </w:p>
          <w:p>
            <w:pPr>
              <w:ind w:left="328"/>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2</w:t>
            </w:r>
            <w:r/>
          </w:p>
        </w:tc>
        <w:tc>
          <w:tcPr>
            <w:tcBorders>
              <w:bottom w:val="none" w:color="000000" w:sz="4" w:space="0"/>
            </w:tcBorders>
            <w:tcW w:w="1277" w:type="dxa"/>
            <w:vAlign w:val="top"/>
            <w:vMerge w:val="restart"/>
            <w:textDirection w:val="lrTb"/>
            <w:noWrap w:val="false"/>
          </w:tcPr>
          <w:p>
            <w:pPr>
              <w:spacing w:line="267" w:lineRule="auto"/>
              <w:rPr>
                <w:rFonts w:ascii="Arial" w:hAnsi="Calibri"/>
                <w:sz w:val="21"/>
              </w:rPr>
            </w:pPr>
            <w:r>
              <w:rPr>
                <w:rFonts w:ascii="Arial" w:hAnsi="Calibri"/>
                <w:sz w:val="21"/>
              </w:rPr>
            </w:r>
            <w:r/>
          </w:p>
          <w:p>
            <w:pPr>
              <w:spacing w:line="267" w:lineRule="auto"/>
              <w:rPr>
                <w:rFonts w:ascii="Arial" w:hAnsi="Calibri"/>
                <w:sz w:val="21"/>
              </w:rPr>
            </w:pPr>
            <w:r>
              <w:rPr>
                <w:rFonts w:ascii="Arial" w:hAnsi="Calibri"/>
                <w:sz w:val="21"/>
              </w:rPr>
            </w:r>
            <w:r/>
          </w:p>
          <w:p>
            <w:pPr>
              <w:spacing w:line="267" w:lineRule="auto"/>
              <w:rPr>
                <w:rFonts w:ascii="Arial" w:hAnsi="Calibri"/>
                <w:sz w:val="21"/>
              </w:rPr>
            </w:pPr>
            <w:r>
              <w:rPr>
                <w:rFonts w:ascii="Arial" w:hAnsi="Calibri"/>
                <w:sz w:val="21"/>
              </w:rPr>
            </w:r>
            <w:r/>
          </w:p>
          <w:p>
            <w:pPr>
              <w:spacing w:line="268" w:lineRule="auto"/>
              <w:rPr>
                <w:rFonts w:ascii="Arial" w:hAnsi="Calibri"/>
                <w:sz w:val="21"/>
              </w:rPr>
            </w:pPr>
            <w:r>
              <w:rPr>
                <w:rFonts w:ascii="Arial" w:hAnsi="Calibri"/>
                <w:sz w:val="21"/>
              </w:rPr>
            </w:r>
            <w:r/>
          </w:p>
          <w:p>
            <w:pPr>
              <w:pStyle w:val="1105"/>
              <w:ind w:left="141"/>
              <w:spacing w:before="62" w:line="226" w:lineRule="auto"/>
            </w:pPr>
            <w:r>
              <w:rPr>
                <w:spacing w:val="8"/>
              </w:rPr>
              <w:t xml:space="preserve">农村生活垃</w:t>
            </w:r>
            <w:r/>
          </w:p>
          <w:p>
            <w:pPr>
              <w:pStyle w:val="1105"/>
              <w:ind w:left="440" w:right="136" w:hanging="296"/>
              <w:spacing w:before="106" w:line="316" w:lineRule="auto"/>
            </w:pPr>
            <w:r>
              <w:rPr>
                <w:spacing w:val="-7"/>
              </w:rPr>
              <w:t xml:space="preserve">圾治理（</w:t>
            </w:r>
            <w:r>
              <w:rPr>
                <w:spacing w:val="-14"/>
              </w:rPr>
              <w:t xml:space="preserve"> </w:t>
            </w:r>
            <w:r>
              <w:rPr>
                <w:rFonts w:ascii="Times New Roman" w:hAnsi="Times New Roman" w:eastAsia="Times New Roman" w:cs="Times New Roman"/>
                <w:spacing w:val="-7"/>
              </w:rPr>
              <w:t xml:space="preserve">12</w:t>
            </w:r>
            <w:r>
              <w:rPr>
                <w:rFonts w:ascii="Times New Roman" w:hAnsi="Times New Roman" w:eastAsia="Times New Roman" w:cs="Times New Roman"/>
              </w:rPr>
              <w:t xml:space="preserve"> </w:t>
            </w:r>
            <w:r>
              <w:rPr>
                <w:spacing w:val="3"/>
              </w:rPr>
              <w:t xml:space="preserve">分）</w:t>
            </w:r>
            <w:r/>
          </w:p>
        </w:tc>
        <w:tc>
          <w:tcPr>
            <w:tcW w:w="2967" w:type="dxa"/>
            <w:vAlign w:val="top"/>
            <w:textDirection w:val="lrTb"/>
            <w:noWrap w:val="false"/>
          </w:tcPr>
          <w:p>
            <w:pPr>
              <w:pStyle w:val="1105"/>
              <w:ind w:left="117" w:right="106" w:firstLine="2"/>
              <w:jc w:val="both"/>
              <w:spacing w:before="103" w:line="296" w:lineRule="auto"/>
            </w:pPr>
            <w:r>
              <w:rPr>
                <w:spacing w:val="5"/>
              </w:rPr>
              <w:t xml:space="preserve">配备完善的垃圾收运设施，设施</w:t>
            </w:r>
            <w:r>
              <w:rPr>
                <w:spacing w:val="4"/>
              </w:rPr>
              <w:t xml:space="preserve"> </w:t>
            </w:r>
            <w:r>
              <w:rPr>
                <w:spacing w:val="5"/>
              </w:rPr>
              <w:t xml:space="preserve">无严重污损情况，生活垃圾日产</w:t>
            </w:r>
            <w:r>
              <w:rPr>
                <w:spacing w:val="6"/>
              </w:rPr>
              <w:t xml:space="preserve"> </w:t>
            </w:r>
            <w:r>
              <w:rPr>
                <w:spacing w:val="3"/>
              </w:rPr>
              <w:t xml:space="preserve">日清</w:t>
            </w:r>
            <w:r/>
          </w:p>
        </w:tc>
        <w:tc>
          <w:tcPr>
            <w:tcW w:w="583" w:type="dxa"/>
            <w:vAlign w:val="top"/>
            <w:textDirection w:val="lrTb"/>
            <w:noWrap w:val="false"/>
          </w:tcPr>
          <w:p>
            <w:pPr>
              <w:spacing w:line="421" w:lineRule="auto"/>
              <w:rPr>
                <w:rFonts w:ascii="Arial" w:hAnsi="Calibri"/>
                <w:sz w:val="21"/>
              </w:rPr>
            </w:pPr>
            <w:r>
              <w:rPr>
                <w:rFonts w:ascii="Arial" w:hAnsi="Calibri"/>
                <w:sz w:val="21"/>
              </w:rPr>
            </w:r>
            <w:r/>
          </w:p>
          <w:p>
            <w:pPr>
              <w:ind w:left="241"/>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W w:w="3248" w:type="dxa"/>
            <w:vAlign w:val="top"/>
            <w:textDirection w:val="lrTb"/>
            <w:noWrap w:val="false"/>
          </w:tcPr>
          <w:p>
            <w:pPr>
              <w:pStyle w:val="1105"/>
              <w:ind w:left="121" w:right="185" w:hanging="9"/>
              <w:spacing w:before="272" w:line="316" w:lineRule="auto"/>
            </w:pPr>
            <w:r>
              <w:rPr>
                <w:spacing w:val="7"/>
              </w:rPr>
              <w:t xml:space="preserve">垃圾桶缺损、污秽；垃圾外溢等</w:t>
            </w:r>
            <w:r>
              <w:rPr>
                <w:spacing w:val="-11"/>
              </w:rPr>
              <w:t xml:space="preserve"> </w:t>
            </w:r>
            <w:r>
              <w:rPr>
                <w:rFonts w:ascii="Times New Roman" w:hAnsi="Times New Roman" w:eastAsia="Times New Roman" w:cs="Times New Roman"/>
                <w:spacing w:val="7"/>
              </w:rPr>
              <w:t xml:space="preserve">1</w:t>
            </w:r>
            <w:r>
              <w:rPr>
                <w:rFonts w:ascii="Times New Roman" w:hAnsi="Times New Roman" w:eastAsia="Times New Roman" w:cs="Times New Roman"/>
              </w:rPr>
              <w:t xml:space="preserve"> </w:t>
            </w:r>
            <w:r>
              <w:rPr>
                <w:spacing w:val="-4"/>
              </w:rPr>
              <w:t xml:space="preserve">处扣</w:t>
            </w:r>
            <w:r>
              <w:rPr>
                <w:spacing w:val="-20"/>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1"/>
              </w:rPr>
              <w:t xml:space="preserve"> </w:t>
            </w:r>
            <w:r>
              <w:rPr>
                <w:spacing w:val="-4"/>
              </w:rPr>
              <w:t xml:space="preserve">分</w:t>
            </w:r>
            <w:r/>
          </w:p>
        </w:tc>
      </w:tr>
      <w:tr>
        <w:trPr>
          <w:trHeight w:val="683"/>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1" w:lineRule="auto"/>
              <w:rPr>
                <w:rFonts w:ascii="Arial" w:hAnsi="Calibri"/>
                <w:sz w:val="21"/>
              </w:rPr>
            </w:pPr>
            <w:r>
              <w:rPr>
                <w:rFonts w:ascii="Arial" w:hAnsi="Calibri"/>
                <w:sz w:val="21"/>
              </w:rPr>
            </w:r>
            <w:r/>
          </w:p>
          <w:p>
            <w:pPr>
              <w:ind w:left="332"/>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7"/>
              <w:spacing w:before="271" w:line="224" w:lineRule="auto"/>
            </w:pPr>
            <w:r>
              <w:rPr>
                <w:spacing w:val="8"/>
              </w:rPr>
              <w:t xml:space="preserve">无暴露垃圾和积存垃圾</w:t>
            </w:r>
            <w:r/>
          </w:p>
        </w:tc>
        <w:tc>
          <w:tcPr>
            <w:tcW w:w="583" w:type="dxa"/>
            <w:vAlign w:val="top"/>
            <w:textDirection w:val="lrTb"/>
            <w:noWrap w:val="false"/>
          </w:tcPr>
          <w:p>
            <w:pPr>
              <w:spacing w:line="251"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5" w:right="185" w:hanging="3"/>
              <w:spacing w:before="100" w:line="278" w:lineRule="auto"/>
            </w:pPr>
            <w:r>
              <w:rPr>
                <w:spacing w:val="6"/>
              </w:rPr>
              <w:t xml:space="preserve">暴露垃圾和积存垃圾成堆</w:t>
            </w:r>
            <w:r>
              <w:rPr>
                <w:spacing w:val="-20"/>
              </w:rPr>
              <w:t xml:space="preserve"> </w:t>
            </w:r>
            <w:r>
              <w:rPr>
                <w:rFonts w:ascii="Times New Roman" w:hAnsi="Times New Roman" w:eastAsia="Times New Roman" w:cs="Times New Roman"/>
                <w:spacing w:val="6"/>
              </w:rPr>
              <w:t xml:space="preserve">1</w:t>
            </w:r>
            <w:r>
              <w:rPr>
                <w:rFonts w:ascii="Times New Roman" w:hAnsi="Times New Roman" w:eastAsia="Times New Roman" w:cs="Times New Roman"/>
                <w:spacing w:val="17"/>
              </w:rPr>
              <w:t xml:space="preserve"> </w:t>
            </w:r>
            <w:r>
              <w:rPr>
                <w:spacing w:val="6"/>
              </w:rPr>
              <w:t xml:space="preserve">处扣</w:t>
            </w:r>
            <w:r>
              <w:rPr>
                <w:spacing w:val="-41"/>
              </w:rPr>
              <w:t xml:space="preserve"> </w:t>
            </w:r>
            <w:r>
              <w:rPr>
                <w:rFonts w:ascii="Times New Roman" w:hAnsi="Times New Roman" w:eastAsia="Times New Roman" w:cs="Times New Roman"/>
                <w:spacing w:val="6"/>
              </w:rPr>
              <w:t xml:space="preserve">2</w:t>
            </w:r>
            <w:r>
              <w:rPr>
                <w:rFonts w:ascii="Times New Roman" w:hAnsi="Times New Roman" w:eastAsia="Times New Roman" w:cs="Times New Roman"/>
              </w:rPr>
              <w:t xml:space="preserve"> </w:t>
            </w:r>
            <w:r>
              <w:rPr>
                <w:spacing w:val="3"/>
              </w:rPr>
              <w:t xml:space="preserve">分；零星垃圾</w:t>
            </w:r>
            <w:r>
              <w:rPr>
                <w:spacing w:val="-15"/>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20"/>
              </w:rPr>
              <w:t xml:space="preserve"> </w:t>
            </w:r>
            <w:r>
              <w:rPr>
                <w:spacing w:val="3"/>
              </w:rPr>
              <w:t xml:space="preserve">处扣</w:t>
            </w:r>
            <w:r>
              <w:rPr>
                <w:spacing w:val="-35"/>
              </w:rPr>
              <w:t xml:space="preserve"> </w:t>
            </w:r>
            <w:r>
              <w:rPr>
                <w:rFonts w:ascii="Times New Roman" w:hAnsi="Times New Roman" w:eastAsia="Times New Roman" w:cs="Times New Roman"/>
                <w:spacing w:val="3"/>
              </w:rPr>
              <w:t xml:space="preserve">0.5 </w:t>
            </w:r>
            <w:r>
              <w:rPr>
                <w:spacing w:val="3"/>
              </w:rPr>
              <w:t xml:space="preserve">分</w:t>
            </w:r>
            <w:r/>
          </w:p>
        </w:tc>
      </w:tr>
      <w:tr>
        <w:trPr>
          <w:trHeight w:val="68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2" w:lineRule="auto"/>
              <w:rPr>
                <w:rFonts w:ascii="Arial" w:hAnsi="Calibri"/>
                <w:sz w:val="21"/>
              </w:rPr>
            </w:pPr>
            <w:r>
              <w:rPr>
                <w:rFonts w:ascii="Arial" w:hAnsi="Calibri"/>
                <w:sz w:val="21"/>
              </w:rPr>
            </w:r>
            <w:r/>
          </w:p>
          <w:p>
            <w:pPr>
              <w:ind w:left="327"/>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1" w:right="259" w:firstLine="6"/>
              <w:spacing w:before="101" w:line="279" w:lineRule="auto"/>
            </w:pPr>
            <w:r>
              <w:rPr>
                <w:spacing w:val="8"/>
              </w:rPr>
              <w:t xml:space="preserve">开展生活垃圾分类和资源化利</w:t>
            </w:r>
            <w:r>
              <w:rPr>
                <w:spacing w:val="9"/>
              </w:rPr>
              <w:t xml:space="preserve"> </w:t>
            </w:r>
            <w:r>
              <w:rPr>
                <w:spacing w:val="1"/>
              </w:rPr>
              <w:t xml:space="preserve">用</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2"/>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2</w:t>
            </w:r>
            <w:r/>
          </w:p>
        </w:tc>
        <w:tc>
          <w:tcPr>
            <w:tcW w:w="3248" w:type="dxa"/>
            <w:vAlign w:val="top"/>
            <w:textDirection w:val="lrTb"/>
            <w:noWrap w:val="false"/>
          </w:tcPr>
          <w:p>
            <w:pPr>
              <w:pStyle w:val="1105"/>
              <w:ind w:left="115" w:right="185" w:firstLine="4"/>
              <w:spacing w:before="101" w:line="279" w:lineRule="auto"/>
            </w:pPr>
            <w:r>
              <w:rPr>
                <w:spacing w:val="8"/>
              </w:rPr>
              <w:t xml:space="preserve">无垃圾分类设施，无相关宣传扣</w:t>
            </w:r>
            <w:r>
              <w:rPr>
                <w:spacing w:val="-34"/>
              </w:rPr>
              <w:t xml:space="preserve"> </w:t>
            </w:r>
            <w:r>
              <w:rPr>
                <w:rFonts w:ascii="Times New Roman" w:hAnsi="Times New Roman" w:eastAsia="Times New Roman" w:cs="Times New Roman"/>
                <w:spacing w:val="8"/>
              </w:rPr>
              <w:t xml:space="preserve">2</w:t>
            </w:r>
            <w:r>
              <w:rPr>
                <w:rFonts w:ascii="Times New Roman" w:hAnsi="Times New Roman" w:eastAsia="Times New Roman" w:cs="Times New Roman"/>
              </w:rPr>
              <w:t xml:space="preserve"> </w:t>
            </w:r>
            <w:r>
              <w:t xml:space="preserve">分</w:t>
            </w:r>
            <w:r/>
          </w:p>
        </w:tc>
      </w:tr>
      <w:tr>
        <w:trPr>
          <w:trHeight w:val="68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5" w:lineRule="auto"/>
              <w:rPr>
                <w:rFonts w:ascii="Arial" w:hAnsi="Calibri"/>
                <w:sz w:val="21"/>
              </w:rPr>
            </w:pPr>
            <w:r>
              <w:rPr>
                <w:rFonts w:ascii="Arial" w:hAnsi="Calibri"/>
                <w:sz w:val="21"/>
              </w:rPr>
            </w:r>
            <w:r/>
          </w:p>
          <w:p>
            <w:pPr>
              <w:ind w:left="333"/>
              <w:spacing w:before="55"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7" w:right="106"/>
              <w:spacing w:before="101" w:line="278" w:lineRule="auto"/>
            </w:pPr>
            <w:r>
              <w:rPr>
                <w:spacing w:val="5"/>
              </w:rPr>
              <w:t xml:space="preserve">无城市污染、工业污染向农村转</w:t>
            </w:r>
            <w:r>
              <w:rPr>
                <w:spacing w:val="6"/>
              </w:rPr>
              <w:t xml:space="preserve"> </w:t>
            </w:r>
            <w:r>
              <w:rPr>
                <w:spacing w:val="8"/>
              </w:rPr>
              <w:t xml:space="preserve">移，无非正规建筑垃圾堆放点</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5" w:right="185" w:firstLine="6"/>
              <w:spacing w:before="101" w:line="278" w:lineRule="auto"/>
            </w:pPr>
            <w:r>
              <w:rPr>
                <w:spacing w:val="4"/>
              </w:rPr>
              <w:t xml:space="preserve">乱堆建筑垃圾、装修垃圾</w:t>
            </w:r>
            <w:r>
              <w:rPr>
                <w:spacing w:val="-20"/>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7"/>
              </w:rPr>
              <w:t xml:space="preserve"> </w:t>
            </w:r>
            <w:r>
              <w:rPr>
                <w:spacing w:val="4"/>
              </w:rPr>
              <w:t xml:space="preserve">处扣</w:t>
            </w:r>
            <w:r>
              <w:rPr>
                <w:spacing w:val="-21"/>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rPr>
              <w:t xml:space="preserve"> </w:t>
            </w:r>
            <w:r>
              <w:t xml:space="preserve">分</w:t>
            </w:r>
            <w:r/>
          </w:p>
        </w:tc>
      </w:tr>
      <w:tr>
        <w:trPr>
          <w:trHeight w:val="68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2" w:lineRule="auto"/>
              <w:rPr>
                <w:rFonts w:ascii="Arial" w:hAnsi="Calibri"/>
                <w:sz w:val="21"/>
              </w:rPr>
            </w:pPr>
            <w:r>
              <w:rPr>
                <w:rFonts w:ascii="Arial" w:hAnsi="Calibri"/>
                <w:sz w:val="21"/>
              </w:rPr>
            </w:r>
            <w:r/>
          </w:p>
          <w:p>
            <w:pPr>
              <w:ind w:left="332"/>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6</w:t>
            </w:r>
            <w:r/>
          </w:p>
        </w:tc>
        <w:tc>
          <w:tcPr>
            <w:tcBorders>
              <w:bottom w:val="none" w:color="000000" w:sz="4" w:space="0"/>
            </w:tcBorders>
            <w:tcW w:w="1277" w:type="dxa"/>
            <w:vAlign w:val="top"/>
            <w:vMerge w:val="restart"/>
            <w:textDirection w:val="lrTb"/>
            <w:noWrap w:val="false"/>
          </w:tcPr>
          <w:p>
            <w:pPr>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pStyle w:val="1105"/>
              <w:ind w:left="168" w:right="139" w:hanging="29"/>
              <w:spacing w:before="62" w:line="314" w:lineRule="auto"/>
            </w:pPr>
            <w:r>
              <w:rPr>
                <w:spacing w:val="8"/>
              </w:rPr>
              <w:t xml:space="preserve">厕所粪污治</w:t>
            </w:r>
            <w:r>
              <w:rPr>
                <w:spacing w:val="2"/>
              </w:rPr>
              <w:t xml:space="preserve"> </w:t>
            </w:r>
            <w:r>
              <w:rPr>
                <w:spacing w:val="16"/>
              </w:rPr>
              <w:t xml:space="preserve">理（</w:t>
            </w:r>
            <w:r>
              <w:rPr>
                <w:rFonts w:ascii="Times New Roman" w:hAnsi="Times New Roman" w:eastAsia="Times New Roman" w:cs="Times New Roman"/>
                <w:spacing w:val="16"/>
              </w:rPr>
              <w:t xml:space="preserve">6</w:t>
            </w:r>
            <w:r>
              <w:rPr>
                <w:spacing w:val="16"/>
              </w:rPr>
              <w:t xml:space="preserve">分）</w:t>
            </w:r>
            <w:r/>
          </w:p>
        </w:tc>
        <w:tc>
          <w:tcPr>
            <w:tcW w:w="2967" w:type="dxa"/>
            <w:vAlign w:val="top"/>
            <w:textDirection w:val="lrTb"/>
            <w:noWrap w:val="false"/>
          </w:tcPr>
          <w:p>
            <w:pPr>
              <w:pStyle w:val="1105"/>
              <w:ind w:left="126" w:right="617" w:hanging="9"/>
              <w:spacing w:before="101" w:line="279" w:lineRule="auto"/>
            </w:pPr>
            <w:r>
              <w:rPr>
                <w:spacing w:val="8"/>
              </w:rPr>
              <w:t xml:space="preserve">无害化卫生户厕普及率达</w:t>
            </w:r>
            <w:r>
              <w:rPr>
                <w:spacing w:val="7"/>
              </w:rPr>
              <w:t xml:space="preserve"> </w:t>
            </w:r>
            <w:r>
              <w:rPr>
                <w:rFonts w:ascii="Times New Roman" w:hAnsi="Times New Roman" w:eastAsia="Times New Roman" w:cs="Times New Roman"/>
                <w:spacing w:val="4"/>
              </w:rPr>
              <w:t xml:space="preserve">100%</w:t>
            </w:r>
            <w:r>
              <w:rPr>
                <w:spacing w:val="4"/>
              </w:rPr>
              <w:t xml:space="preserve">，化粪池盖板无破损</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21"/>
              <w:spacing w:before="272" w:line="227" w:lineRule="auto"/>
            </w:pPr>
            <w:r>
              <w:rPr>
                <w:spacing w:val="2"/>
              </w:rPr>
              <w:t xml:space="preserve">化粪池盖板破损、缺失 </w:t>
            </w:r>
            <w:r>
              <w:rPr>
                <w:rFonts w:ascii="Times New Roman" w:hAnsi="Times New Roman" w:eastAsia="Times New Roman" w:cs="Times New Roman"/>
                <w:spacing w:val="2"/>
              </w:rPr>
              <w:t xml:space="preserve">1</w:t>
            </w:r>
            <w:r>
              <w:rPr>
                <w:rFonts w:ascii="Times New Roman" w:hAnsi="Times New Roman" w:eastAsia="Times New Roman" w:cs="Times New Roman"/>
                <w:spacing w:val="24"/>
              </w:rPr>
              <w:t xml:space="preserve"> </w:t>
            </w:r>
            <w:r>
              <w:rPr>
                <w:spacing w:val="2"/>
              </w:rPr>
              <w:t xml:space="preserve">处扣</w:t>
            </w:r>
            <w:r>
              <w:rPr>
                <w:spacing w:val="-19"/>
              </w:rPr>
              <w:t xml:space="preserve"> </w:t>
            </w:r>
            <w:r>
              <w:rPr>
                <w:rFonts w:ascii="Times New Roman" w:hAnsi="Times New Roman" w:eastAsia="Times New Roman" w:cs="Times New Roman"/>
                <w:spacing w:val="2"/>
              </w:rPr>
              <w:t xml:space="preserve">1 </w:t>
            </w:r>
            <w:r>
              <w:rPr>
                <w:spacing w:val="2"/>
              </w:rPr>
              <w:t xml:space="preserve">分</w:t>
            </w:r>
            <w:r/>
          </w:p>
        </w:tc>
      </w:tr>
      <w:tr>
        <w:trPr>
          <w:trHeight w:val="1363"/>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96" w:lineRule="auto"/>
              <w:rPr>
                <w:rFonts w:ascii="Arial" w:hAnsi="Calibri"/>
                <w:sz w:val="21"/>
              </w:rPr>
            </w:pPr>
            <w:r>
              <w:rPr>
                <w:rFonts w:ascii="Arial" w:hAnsi="Calibri"/>
                <w:sz w:val="21"/>
              </w:rPr>
            </w:r>
            <w:r/>
          </w:p>
          <w:p>
            <w:pPr>
              <w:spacing w:line="296" w:lineRule="auto"/>
              <w:rPr>
                <w:rFonts w:ascii="Arial" w:hAnsi="Calibri"/>
                <w:sz w:val="21"/>
              </w:rPr>
            </w:pPr>
            <w:r>
              <w:rPr>
                <w:rFonts w:ascii="Arial" w:hAnsi="Calibri"/>
                <w:sz w:val="21"/>
              </w:rPr>
            </w:r>
            <w:r/>
          </w:p>
          <w:p>
            <w:pPr>
              <w:ind w:left="331"/>
              <w:spacing w:before="54"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7</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spacing w:line="376" w:lineRule="auto"/>
              <w:rPr>
                <w:rFonts w:ascii="Arial" w:hAnsi="Calibri"/>
                <w:sz w:val="21"/>
              </w:rPr>
            </w:pPr>
            <w:r>
              <w:rPr>
                <w:rFonts w:ascii="Arial" w:hAnsi="Calibri"/>
                <w:sz w:val="21"/>
              </w:rPr>
            </w:r>
            <w:r/>
          </w:p>
          <w:p>
            <w:pPr>
              <w:pStyle w:val="1105"/>
              <w:ind w:left="117" w:right="99" w:hanging="4"/>
              <w:spacing w:before="62" w:line="315" w:lineRule="auto"/>
            </w:pPr>
            <w:r>
              <w:rPr>
                <w:spacing w:val="6"/>
              </w:rPr>
              <w:t xml:space="preserve">农村公厕管理规范，内部干净、</w:t>
            </w:r>
            <w:r>
              <w:rPr>
                <w:spacing w:val="4"/>
              </w:rPr>
              <w:t xml:space="preserve"> </w:t>
            </w:r>
            <w:r>
              <w:rPr>
                <w:spacing w:val="5"/>
              </w:rPr>
              <w:t xml:space="preserve">无异味，</w:t>
            </w:r>
            <w:r>
              <w:rPr>
                <w:spacing w:val="-51"/>
              </w:rPr>
              <w:t xml:space="preserve"> </w:t>
            </w:r>
            <w:r>
              <w:rPr>
                <w:spacing w:val="5"/>
              </w:rPr>
              <w:t xml:space="preserve">周边环境干净整洁</w:t>
            </w:r>
            <w:r/>
          </w:p>
        </w:tc>
        <w:tc>
          <w:tcPr>
            <w:tcW w:w="583" w:type="dxa"/>
            <w:vAlign w:val="top"/>
            <w:textDirection w:val="lrTb"/>
            <w:noWrap w:val="false"/>
          </w:tcPr>
          <w:p>
            <w:pPr>
              <w:spacing w:line="294" w:lineRule="auto"/>
              <w:rPr>
                <w:rFonts w:ascii="Arial" w:hAnsi="Calibri"/>
                <w:sz w:val="21"/>
              </w:rPr>
            </w:pPr>
            <w:r>
              <w:rPr>
                <w:rFonts w:ascii="Arial" w:hAnsi="Calibri"/>
                <w:sz w:val="21"/>
              </w:rPr>
            </w:r>
            <w:r/>
          </w:p>
          <w:p>
            <w:pPr>
              <w:spacing w:line="295"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right="152" w:hanging="1"/>
              <w:jc w:val="both"/>
              <w:spacing w:before="101" w:line="304" w:lineRule="auto"/>
            </w:pPr>
            <w:r>
              <w:rPr>
                <w:spacing w:val="8"/>
              </w:rPr>
              <w:t xml:space="preserve">公厕内部有异味，保洁不及时、设</w:t>
            </w:r>
            <w:r>
              <w:rPr>
                <w:spacing w:val="6"/>
              </w:rPr>
              <w:t xml:space="preserve"> </w:t>
            </w:r>
            <w:r>
              <w:rPr>
                <w:spacing w:val="4"/>
              </w:rPr>
              <w:t xml:space="preserve">施破损、乱张贴、乱涂写</w:t>
            </w:r>
            <w:r>
              <w:rPr>
                <w:spacing w:val="-12"/>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7"/>
              </w:rPr>
              <w:t xml:space="preserve"> </w:t>
            </w:r>
            <w:r>
              <w:rPr>
                <w:spacing w:val="4"/>
              </w:rPr>
              <w:t xml:space="preserve">处扣</w:t>
            </w:r>
            <w:r>
              <w:rPr>
                <w:spacing w:val="-22"/>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rPr>
              <w:t xml:space="preserve">  </w:t>
            </w:r>
            <w:r>
              <w:rPr>
                <w:spacing w:val="7"/>
              </w:rPr>
              <w:t xml:space="preserve">分；公厕周边有大范围暴露垃圾</w:t>
            </w:r>
            <w:r>
              <w:rPr>
                <w:spacing w:val="-14"/>
              </w:rPr>
              <w:t xml:space="preserve"> </w:t>
            </w:r>
            <w:r>
              <w:rPr>
                <w:rFonts w:ascii="Times New Roman" w:hAnsi="Times New Roman" w:eastAsia="Times New Roman" w:cs="Times New Roman"/>
                <w:spacing w:val="7"/>
              </w:rPr>
              <w:t xml:space="preserve">1</w:t>
            </w:r>
            <w:r>
              <w:rPr>
                <w:rFonts w:ascii="Times New Roman" w:hAnsi="Times New Roman" w:eastAsia="Times New Roman" w:cs="Times New Roman"/>
              </w:rPr>
              <w:t xml:space="preserve">  </w:t>
            </w:r>
            <w:r>
              <w:rPr>
                <w:spacing w:val="4"/>
              </w:rPr>
              <w:t xml:space="preserve">处扣</w:t>
            </w:r>
            <w:r>
              <w:rPr>
                <w:spacing w:val="-39"/>
              </w:rPr>
              <w:t xml:space="preserve"> </w:t>
            </w:r>
            <w:r>
              <w:rPr>
                <w:rFonts w:ascii="Times New Roman" w:hAnsi="Times New Roman" w:eastAsia="Times New Roman" w:cs="Times New Roman"/>
                <w:spacing w:val="4"/>
              </w:rPr>
              <w:t xml:space="preserve">2 </w:t>
            </w:r>
            <w:r>
              <w:rPr>
                <w:spacing w:val="4"/>
              </w:rPr>
              <w:t xml:space="preserve">分，零星垃圾</w:t>
            </w:r>
            <w:r>
              <w:rPr>
                <w:spacing w:val="-20"/>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20"/>
              </w:rPr>
              <w:t xml:space="preserve"> </w:t>
            </w:r>
            <w:r>
              <w:rPr>
                <w:spacing w:val="4"/>
              </w:rPr>
              <w:t xml:space="preserve">处扣</w:t>
            </w:r>
            <w:r>
              <w:rPr>
                <w:spacing w:val="-38"/>
              </w:rPr>
              <w:t xml:space="preserve"> </w:t>
            </w:r>
            <w:r>
              <w:rPr>
                <w:rFonts w:ascii="Times New Roman" w:hAnsi="Times New Roman" w:eastAsia="Times New Roman" w:cs="Times New Roman"/>
                <w:spacing w:val="4"/>
              </w:rPr>
              <w:t xml:space="preserve">0.5 </w:t>
            </w:r>
            <w:r>
              <w:rPr>
                <w:spacing w:val="4"/>
              </w:rPr>
              <w:t xml:space="preserve">分</w:t>
            </w:r>
            <w:r/>
          </w:p>
        </w:tc>
      </w:tr>
      <w:tr>
        <w:trPr>
          <w:trHeight w:val="1350"/>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92" w:lineRule="auto"/>
              <w:rPr>
                <w:rFonts w:ascii="Arial" w:hAnsi="Calibri"/>
                <w:sz w:val="21"/>
              </w:rPr>
            </w:pPr>
            <w:r>
              <w:rPr>
                <w:rFonts w:ascii="Arial" w:hAnsi="Calibri"/>
                <w:sz w:val="21"/>
              </w:rPr>
            </w:r>
            <w:r/>
          </w:p>
          <w:p>
            <w:pPr>
              <w:spacing w:line="292" w:lineRule="auto"/>
              <w:rPr>
                <w:rFonts w:ascii="Arial" w:hAnsi="Calibri"/>
                <w:sz w:val="21"/>
              </w:rPr>
            </w:pPr>
            <w:r>
              <w:rPr>
                <w:rFonts w:ascii="Arial" w:hAnsi="Calibri"/>
                <w:sz w:val="21"/>
              </w:rPr>
            </w:r>
            <w:r/>
          </w:p>
          <w:p>
            <w:pPr>
              <w:ind w:left="33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8</w:t>
            </w:r>
            <w:r/>
          </w:p>
        </w:tc>
        <w:tc>
          <w:tcPr>
            <w:tcBorders>
              <w:bottom w:val="none" w:color="000000" w:sz="4" w:space="0"/>
            </w:tcBorders>
            <w:tcW w:w="1277" w:type="dxa"/>
            <w:vAlign w:val="top"/>
            <w:vMerge w:val="restart"/>
            <w:textDirection w:val="lrTb"/>
            <w:noWrap w:val="false"/>
          </w:tcPr>
          <w:p>
            <w:pPr>
              <w:spacing w:line="273" w:lineRule="auto"/>
              <w:rPr>
                <w:rFonts w:ascii="Arial" w:hAnsi="Calibri"/>
                <w:sz w:val="21"/>
              </w:rPr>
            </w:pPr>
            <w:r>
              <w:rPr>
                <w:rFonts w:ascii="Arial" w:hAnsi="Calibri"/>
                <w:sz w:val="21"/>
              </w:rPr>
            </w:r>
            <w:r/>
          </w:p>
          <w:p>
            <w:pPr>
              <w:spacing w:line="273" w:lineRule="auto"/>
              <w:rPr>
                <w:rFonts w:ascii="Arial" w:hAnsi="Calibri"/>
                <w:sz w:val="21"/>
              </w:rPr>
            </w:pPr>
            <w:r>
              <w:rPr>
                <w:rFonts w:ascii="Arial" w:hAnsi="Calibri"/>
                <w:sz w:val="21"/>
              </w:rPr>
            </w:r>
            <w:r/>
          </w:p>
          <w:p>
            <w:pPr>
              <w:pStyle w:val="1105"/>
              <w:ind w:left="141"/>
              <w:spacing w:before="62" w:line="226" w:lineRule="auto"/>
            </w:pPr>
            <w:r>
              <w:rPr>
                <w:spacing w:val="8"/>
              </w:rPr>
              <w:t xml:space="preserve">农村生活污</w:t>
            </w:r>
            <w:r/>
          </w:p>
          <w:p>
            <w:pPr>
              <w:pStyle w:val="1105"/>
              <w:ind w:left="440" w:right="187" w:hanging="251"/>
              <w:spacing w:before="107" w:line="314" w:lineRule="auto"/>
            </w:pPr>
            <w:r>
              <w:rPr>
                <w:spacing w:val="-7"/>
              </w:rPr>
              <w:t xml:space="preserve">水治理（</w:t>
            </w:r>
            <w:r>
              <w:rPr>
                <w:spacing w:val="-22"/>
              </w:rPr>
              <w:t xml:space="preserve"> </w:t>
            </w:r>
            <w:r>
              <w:rPr>
                <w:rFonts w:ascii="Times New Roman" w:hAnsi="Times New Roman" w:eastAsia="Times New Roman" w:cs="Times New Roman"/>
                <w:spacing w:val="-7"/>
              </w:rPr>
              <w:t xml:space="preserve">8</w:t>
            </w:r>
            <w:r>
              <w:rPr>
                <w:rFonts w:ascii="Times New Roman" w:hAnsi="Times New Roman" w:eastAsia="Times New Roman" w:cs="Times New Roman"/>
              </w:rPr>
              <w:t xml:space="preserve"> </w:t>
            </w:r>
            <w:r>
              <w:rPr>
                <w:spacing w:val="3"/>
              </w:rPr>
              <w:t xml:space="preserve">分）</w:t>
            </w:r>
            <w:r/>
          </w:p>
        </w:tc>
        <w:tc>
          <w:tcPr>
            <w:tcW w:w="2967" w:type="dxa"/>
            <w:vAlign w:val="top"/>
            <w:textDirection w:val="lrTb"/>
            <w:noWrap w:val="false"/>
          </w:tcPr>
          <w:p>
            <w:pPr>
              <w:pStyle w:val="1105"/>
              <w:ind w:left="110" w:right="106"/>
              <w:spacing w:before="264" w:line="322" w:lineRule="auto"/>
            </w:pPr>
            <w:r>
              <w:rPr>
                <w:spacing w:val="9"/>
              </w:rPr>
              <w:t xml:space="preserve">建有生活污水处理设施或纳入</w:t>
            </w:r>
            <w:r>
              <w:rPr>
                <w:spacing w:val="2"/>
              </w:rPr>
              <w:t xml:space="preserve">  </w:t>
            </w:r>
            <w:r>
              <w:rPr>
                <w:spacing w:val="6"/>
              </w:rPr>
              <w:t xml:space="preserve">城镇污水管网，农户接管率达到</w:t>
            </w:r>
            <w:r>
              <w:t xml:space="preserve"> </w:t>
            </w:r>
            <w:r>
              <w:rPr>
                <w:rFonts w:ascii="Times New Roman" w:hAnsi="Times New Roman" w:eastAsia="Times New Roman" w:cs="Times New Roman"/>
                <w:spacing w:val="6"/>
              </w:rPr>
              <w:t xml:space="preserve">80%</w:t>
            </w:r>
            <w:r>
              <w:rPr>
                <w:spacing w:val="6"/>
              </w:rPr>
              <w:t xml:space="preserve">以上</w:t>
            </w:r>
            <w:r/>
          </w:p>
        </w:tc>
        <w:tc>
          <w:tcPr>
            <w:tcW w:w="583" w:type="dxa"/>
            <w:vAlign w:val="top"/>
            <w:textDirection w:val="lrTb"/>
            <w:noWrap w:val="false"/>
          </w:tcPr>
          <w:p>
            <w:pPr>
              <w:spacing w:line="293" w:lineRule="auto"/>
              <w:rPr>
                <w:rFonts w:ascii="Arial" w:hAnsi="Calibri"/>
                <w:sz w:val="21"/>
              </w:rPr>
            </w:pPr>
            <w:r>
              <w:rPr>
                <w:rFonts w:ascii="Arial" w:hAnsi="Calibri"/>
                <w:sz w:val="21"/>
              </w:rPr>
            </w:r>
            <w:r/>
          </w:p>
          <w:p>
            <w:pPr>
              <w:spacing w:line="294" w:lineRule="auto"/>
              <w:rPr>
                <w:rFonts w:ascii="Arial" w:hAnsi="Calibri"/>
                <w:sz w:val="21"/>
              </w:rPr>
            </w:pPr>
            <w:r>
              <w:rPr>
                <w:rFonts w:ascii="Arial" w:hAnsi="Calibri"/>
                <w:sz w:val="21"/>
              </w:rPr>
            </w:r>
            <w:r/>
          </w:p>
          <w:p>
            <w:pPr>
              <w:ind w:left="247"/>
              <w:spacing w:before="55"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W w:w="3248" w:type="dxa"/>
            <w:vAlign w:val="top"/>
            <w:textDirection w:val="lrTb"/>
            <w:noWrap w:val="false"/>
          </w:tcPr>
          <w:p>
            <w:pPr>
              <w:pStyle w:val="1105"/>
              <w:ind w:left="122" w:right="137" w:hanging="2"/>
              <w:spacing w:before="264" w:line="316" w:lineRule="auto"/>
            </w:pPr>
            <w:r>
              <w:rPr>
                <w:spacing w:val="9"/>
              </w:rPr>
              <w:t xml:space="preserve">无生活污水处理设施或未纳入城镇</w:t>
            </w:r>
            <w:r>
              <w:t xml:space="preserve"> </w:t>
            </w:r>
            <w:r>
              <w:rPr>
                <w:spacing w:val="8"/>
              </w:rPr>
              <w:t xml:space="preserve">污水管网不得分；接管率未达到</w:t>
            </w:r>
            <w:r/>
          </w:p>
          <w:p>
            <w:pPr>
              <w:pStyle w:val="1105"/>
              <w:ind w:left="118"/>
              <w:spacing w:before="31" w:line="227" w:lineRule="auto"/>
            </w:pPr>
            <w:r>
              <w:rPr>
                <w:rFonts w:ascii="Times New Roman" w:hAnsi="Times New Roman" w:eastAsia="Times New Roman" w:cs="Times New Roman"/>
                <w:spacing w:val="1"/>
              </w:rPr>
              <w:t xml:space="preserve">80%</w:t>
            </w:r>
            <w:r>
              <w:rPr>
                <w:spacing w:val="1"/>
              </w:rPr>
              <w:t xml:space="preserve">扣</w:t>
            </w:r>
            <w:r>
              <w:rPr>
                <w:spacing w:val="-33"/>
              </w:rPr>
              <w:t xml:space="preserve"> </w:t>
            </w:r>
            <w:r>
              <w:rPr>
                <w:rFonts w:ascii="Times New Roman" w:hAnsi="Times New Roman" w:eastAsia="Times New Roman" w:cs="Times New Roman"/>
                <w:spacing w:val="1"/>
              </w:rPr>
              <w:t xml:space="preserve">3</w:t>
            </w:r>
            <w:r>
              <w:rPr>
                <w:rFonts w:ascii="Times New Roman" w:hAnsi="Times New Roman" w:eastAsia="Times New Roman" w:cs="Times New Roman"/>
                <w:spacing w:val="13"/>
              </w:rPr>
              <w:t xml:space="preserve"> </w:t>
            </w:r>
            <w:r>
              <w:rPr>
                <w:spacing w:val="1"/>
              </w:rPr>
              <w:t xml:space="preserve">分；</w:t>
            </w:r>
            <w:r>
              <w:rPr>
                <w:spacing w:val="-54"/>
              </w:rPr>
              <w:t xml:space="preserve"> </w:t>
            </w:r>
            <w:r>
              <w:rPr>
                <w:rFonts w:ascii="Times New Roman" w:hAnsi="Times New Roman" w:eastAsia="Times New Roman" w:cs="Times New Roman"/>
                <w:spacing w:val="1"/>
              </w:rPr>
              <w:t xml:space="preserve">1</w:t>
            </w:r>
            <w:r>
              <w:rPr>
                <w:rFonts w:ascii="Times New Roman" w:hAnsi="Times New Roman" w:eastAsia="Times New Roman" w:cs="Times New Roman"/>
                <w:spacing w:val="18"/>
              </w:rPr>
              <w:t xml:space="preserve"> </w:t>
            </w:r>
            <w:r>
              <w:rPr>
                <w:spacing w:val="1"/>
              </w:rPr>
              <w:t xml:space="preserve">处污水直排扣</w:t>
            </w:r>
            <w:r>
              <w:rPr>
                <w:spacing w:val="-19"/>
              </w:rPr>
              <w:t xml:space="preserve"> </w:t>
            </w:r>
            <w:r>
              <w:rPr>
                <w:rFonts w:ascii="Times New Roman" w:hAnsi="Times New Roman" w:eastAsia="Times New Roman" w:cs="Times New Roman"/>
                <w:spacing w:val="1"/>
              </w:rPr>
              <w:t xml:space="preserve">1 </w:t>
            </w:r>
            <w:r>
              <w:rPr>
                <w:spacing w:val="1"/>
              </w:rPr>
              <w:t xml:space="preserve">分</w:t>
            </w:r>
            <w:r/>
          </w:p>
        </w:tc>
      </w:tr>
      <w:tr>
        <w:trPr>
          <w:trHeight w:val="68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4" w:lineRule="auto"/>
              <w:rPr>
                <w:rFonts w:ascii="Arial" w:hAnsi="Calibri"/>
                <w:sz w:val="21"/>
              </w:rPr>
            </w:pPr>
            <w:r>
              <w:rPr>
                <w:rFonts w:ascii="Arial" w:hAnsi="Calibri"/>
                <w:sz w:val="21"/>
              </w:rPr>
            </w:r>
            <w:r/>
          </w:p>
          <w:p>
            <w:pPr>
              <w:ind w:left="332"/>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9</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1" w:right="259"/>
              <w:spacing w:before="103" w:line="277" w:lineRule="auto"/>
            </w:pPr>
            <w:r>
              <w:rPr>
                <w:spacing w:val="9"/>
              </w:rPr>
              <w:t xml:space="preserve">村内生活污水处理设施正常运</w:t>
            </w:r>
            <w:r>
              <w:rPr>
                <w:spacing w:val="2"/>
              </w:rPr>
              <w:t xml:space="preserve"> </w:t>
            </w:r>
            <w:r>
              <w:rPr>
                <w:spacing w:val="1"/>
              </w:rPr>
              <w:t xml:space="preserve">行</w:t>
            </w:r>
            <w:r/>
          </w:p>
        </w:tc>
        <w:tc>
          <w:tcPr>
            <w:tcW w:w="583" w:type="dxa"/>
            <w:vAlign w:val="top"/>
            <w:textDirection w:val="lrTb"/>
            <w:noWrap w:val="false"/>
          </w:tcPr>
          <w:p>
            <w:pPr>
              <w:spacing w:line="254" w:lineRule="auto"/>
              <w:rPr>
                <w:rFonts w:ascii="Arial" w:hAnsi="Calibri"/>
                <w:sz w:val="21"/>
              </w:rPr>
            </w:pPr>
            <w:r>
              <w:rPr>
                <w:rFonts w:ascii="Arial" w:hAnsi="Calibri"/>
                <w:sz w:val="21"/>
              </w:rPr>
            </w:r>
            <w:r/>
          </w:p>
          <w:p>
            <w:pPr>
              <w:ind w:left="246"/>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5" w:right="137" w:firstLine="10"/>
              <w:spacing w:before="103" w:line="277" w:lineRule="auto"/>
            </w:pPr>
            <w:r>
              <w:rPr>
                <w:spacing w:val="8"/>
              </w:rPr>
              <w:t xml:space="preserve">生活污水处理设施未正常运行不得</w:t>
            </w:r>
            <w:r>
              <w:rPr>
                <w:spacing w:val="7"/>
              </w:rPr>
              <w:t xml:space="preserve"> </w:t>
            </w:r>
            <w:r>
              <w:t xml:space="preserve">分</w:t>
            </w:r>
            <w:r/>
          </w:p>
        </w:tc>
      </w:tr>
      <w:tr>
        <w:trPr>
          <w:trHeight w:val="1027"/>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423" w:lineRule="auto"/>
              <w:rPr>
                <w:rFonts w:ascii="Arial" w:hAnsi="Calibri"/>
                <w:sz w:val="21"/>
              </w:rPr>
            </w:pPr>
            <w:r>
              <w:rPr>
                <w:rFonts w:ascii="Arial" w:hAnsi="Calibri"/>
                <w:sz w:val="21"/>
              </w:rPr>
            </w:r>
            <w:r/>
          </w:p>
          <w:p>
            <w:pPr>
              <w:ind w:left="299"/>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10</w:t>
            </w:r>
            <w:r/>
          </w:p>
        </w:tc>
        <w:tc>
          <w:tcPr>
            <w:tcBorders>
              <w:bottom w:val="none" w:color="000000" w:sz="4" w:space="0"/>
            </w:tcBorders>
            <w:tcW w:w="1277" w:type="dxa"/>
            <w:vAlign w:val="top"/>
            <w:vMerge w:val="restart"/>
            <w:textDirection w:val="lrTb"/>
            <w:noWrap w:val="false"/>
          </w:tcPr>
          <w:p>
            <w:pPr>
              <w:spacing w:line="250" w:lineRule="auto"/>
              <w:rPr>
                <w:rFonts w:ascii="Arial" w:hAnsi="Calibri"/>
                <w:sz w:val="21"/>
              </w:rPr>
            </w:pPr>
            <w:r>
              <w:rPr>
                <w:rFonts w:ascii="Arial" w:hAnsi="Calibri"/>
                <w:sz w:val="21"/>
              </w:rPr>
            </w:r>
            <w:r/>
          </w:p>
          <w:p>
            <w:pPr>
              <w:spacing w:line="250" w:lineRule="auto"/>
              <w:rPr>
                <w:rFonts w:ascii="Arial" w:hAnsi="Calibri"/>
                <w:sz w:val="21"/>
              </w:rPr>
            </w:pPr>
            <w:r>
              <w:rPr>
                <w:rFonts w:ascii="Arial" w:hAnsi="Calibri"/>
                <w:sz w:val="21"/>
              </w:rPr>
            </w:r>
            <w:r/>
          </w:p>
          <w:p>
            <w:pPr>
              <w:spacing w:line="250" w:lineRule="auto"/>
              <w:rPr>
                <w:rFonts w:ascii="Arial" w:hAnsi="Calibri"/>
                <w:sz w:val="21"/>
              </w:rPr>
            </w:pPr>
            <w:r>
              <w:rPr>
                <w:rFonts w:ascii="Arial" w:hAnsi="Calibri"/>
                <w:sz w:val="21"/>
              </w:rPr>
            </w:r>
            <w:r/>
          </w:p>
          <w:p>
            <w:pPr>
              <w:spacing w:line="251" w:lineRule="auto"/>
              <w:rPr>
                <w:rFonts w:ascii="Arial" w:hAnsi="Calibri"/>
                <w:sz w:val="21"/>
              </w:rPr>
            </w:pPr>
            <w:r>
              <w:rPr>
                <w:rFonts w:ascii="Arial" w:hAnsi="Calibri"/>
                <w:sz w:val="21"/>
              </w:rPr>
            </w:r>
            <w:r/>
          </w:p>
          <w:p>
            <w:pPr>
              <w:pStyle w:val="1105"/>
              <w:ind w:left="118" w:right="116" w:firstLine="23"/>
              <w:spacing w:before="62" w:line="316" w:lineRule="auto"/>
            </w:pPr>
            <w:r>
              <w:rPr>
                <w:spacing w:val="8"/>
              </w:rPr>
              <w:t xml:space="preserve">农村河道治</w:t>
            </w:r>
            <w:r>
              <w:t xml:space="preserve"> </w:t>
            </w:r>
            <w:r>
              <w:rPr>
                <w:spacing w:val="-4"/>
              </w:rPr>
              <w:t xml:space="preserve">理（</w:t>
            </w:r>
            <w:r>
              <w:rPr>
                <w:spacing w:val="-44"/>
              </w:rPr>
              <w:t xml:space="preserve"> </w:t>
            </w:r>
            <w:r>
              <w:rPr>
                <w:rFonts w:ascii="Times New Roman" w:hAnsi="Times New Roman" w:eastAsia="Times New Roman" w:cs="Times New Roman"/>
                <w:spacing w:val="-4"/>
              </w:rPr>
              <w:t xml:space="preserve">12</w:t>
            </w:r>
            <w:r>
              <w:rPr>
                <w:rFonts w:ascii="Times New Roman" w:hAnsi="Times New Roman" w:eastAsia="Times New Roman" w:cs="Times New Roman"/>
                <w:spacing w:val="11"/>
              </w:rPr>
              <w:t xml:space="preserve"> </w:t>
            </w:r>
            <w:r>
              <w:rPr>
                <w:spacing w:val="-4"/>
              </w:rPr>
              <w:t xml:space="preserve">分）</w:t>
            </w:r>
            <w:r/>
          </w:p>
        </w:tc>
        <w:tc>
          <w:tcPr>
            <w:tcW w:w="2967" w:type="dxa"/>
            <w:vAlign w:val="top"/>
            <w:textDirection w:val="lrTb"/>
            <w:noWrap w:val="false"/>
          </w:tcPr>
          <w:p>
            <w:pPr>
              <w:pStyle w:val="1105"/>
              <w:ind w:left="117" w:right="106" w:hanging="4"/>
              <w:spacing w:before="106" w:line="295" w:lineRule="auto"/>
            </w:pPr>
            <w:r>
              <w:rPr>
                <w:spacing w:val="9"/>
              </w:rPr>
              <w:t xml:space="preserve">农村河道、村内沟塘等水体清</w:t>
            </w:r>
            <w:r>
              <w:t xml:space="preserve">  </w:t>
            </w:r>
            <w:r>
              <w:rPr>
                <w:spacing w:val="5"/>
              </w:rPr>
              <w:t xml:space="preserve">洁、无异味，无大范围水草、漂</w:t>
            </w:r>
            <w:r>
              <w:rPr>
                <w:spacing w:val="7"/>
              </w:rPr>
              <w:t xml:space="preserve"> </w:t>
            </w:r>
            <w:r>
              <w:rPr>
                <w:spacing w:val="6"/>
              </w:rPr>
              <w:t xml:space="preserve">浮垃圾等</w:t>
            </w:r>
            <w:r/>
          </w:p>
        </w:tc>
        <w:tc>
          <w:tcPr>
            <w:tcW w:w="583" w:type="dxa"/>
            <w:vAlign w:val="top"/>
            <w:textDirection w:val="lrTb"/>
            <w:noWrap w:val="false"/>
          </w:tcPr>
          <w:p>
            <w:pPr>
              <w:spacing w:line="426" w:lineRule="auto"/>
              <w:rPr>
                <w:rFonts w:ascii="Arial" w:hAnsi="Calibri"/>
                <w:sz w:val="21"/>
              </w:rPr>
            </w:pPr>
            <w:r>
              <w:rPr>
                <w:rFonts w:ascii="Arial" w:hAnsi="Calibri"/>
                <w:sz w:val="21"/>
              </w:rPr>
            </w:r>
            <w:r/>
          </w:p>
          <w:p>
            <w:pPr>
              <w:ind w:left="247"/>
              <w:spacing w:before="55"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W w:w="3248" w:type="dxa"/>
            <w:vAlign w:val="top"/>
            <w:textDirection w:val="lrTb"/>
            <w:noWrap w:val="false"/>
          </w:tcPr>
          <w:p>
            <w:pPr>
              <w:pStyle w:val="1105"/>
              <w:ind w:left="113" w:right="63" w:firstLine="11"/>
              <w:spacing w:before="274" w:line="315" w:lineRule="auto"/>
            </w:pPr>
            <w:r>
              <w:t xml:space="preserve">河塘水体污染，颜色有异常扣</w:t>
            </w:r>
            <w:r>
              <w:rPr>
                <w:spacing w:val="-34"/>
              </w:rPr>
              <w:t xml:space="preserve"> </w:t>
            </w:r>
            <w:r>
              <w:rPr>
                <w:rFonts w:ascii="Times New Roman" w:hAnsi="Times New Roman" w:eastAsia="Times New Roman" w:cs="Times New Roman"/>
              </w:rPr>
              <w:t xml:space="preserve">2 </w:t>
            </w:r>
            <w:r>
              <w:t xml:space="preserve">分； </w:t>
            </w:r>
            <w:r>
              <w:rPr>
                <w:spacing w:val="4"/>
              </w:rPr>
              <w:t xml:space="preserve">水面有漂浮物、垃圾等</w:t>
            </w:r>
            <w:r>
              <w:rPr>
                <w:spacing w:val="-15"/>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7"/>
              </w:rPr>
              <w:t xml:space="preserve"> </w:t>
            </w:r>
            <w:r>
              <w:rPr>
                <w:spacing w:val="4"/>
              </w:rPr>
              <w:t xml:space="preserve">处扣</w:t>
            </w:r>
            <w:r>
              <w:rPr>
                <w:spacing w:val="-19"/>
              </w:rPr>
              <w:t xml:space="preserve"> </w:t>
            </w:r>
            <w:r>
              <w:rPr>
                <w:rFonts w:ascii="Times New Roman" w:hAnsi="Times New Roman" w:eastAsia="Times New Roman" w:cs="Times New Roman"/>
                <w:spacing w:val="4"/>
              </w:rPr>
              <w:t xml:space="preserve">1 </w:t>
            </w:r>
            <w:r>
              <w:rPr>
                <w:spacing w:val="4"/>
              </w:rPr>
              <w:t xml:space="preserve">分</w:t>
            </w:r>
            <w:r/>
          </w:p>
        </w:tc>
      </w:tr>
      <w:tr>
        <w:trPr>
          <w:trHeight w:val="102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421" w:lineRule="auto"/>
              <w:rPr>
                <w:rFonts w:ascii="Arial" w:hAnsi="Calibri"/>
                <w:sz w:val="21"/>
              </w:rPr>
            </w:pPr>
            <w:r>
              <w:rPr>
                <w:rFonts w:ascii="Arial" w:hAnsi="Calibri"/>
                <w:sz w:val="21"/>
              </w:rPr>
            </w:r>
            <w:r/>
          </w:p>
          <w:p>
            <w:pPr>
              <w:ind w:left="301"/>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6"/>
                <w:sz w:val="19"/>
                <w:szCs w:val="19"/>
              </w:rPr>
              <w:t xml:space="preserve">11</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4" w:right="46" w:firstLine="8"/>
              <w:jc w:val="both"/>
              <w:spacing w:before="103" w:line="295" w:lineRule="auto"/>
            </w:pPr>
            <w:r>
              <w:rPr>
                <w:spacing w:val="5"/>
              </w:rPr>
              <w:t xml:space="preserve">河塘坡岸整洁，无暴露垃圾、乱</w:t>
            </w:r>
            <w:r>
              <w:rPr>
                <w:spacing w:val="2"/>
              </w:rPr>
              <w:t xml:space="preserve"> </w:t>
            </w:r>
            <w:r>
              <w:rPr>
                <w:spacing w:val="-4"/>
              </w:rPr>
              <w:t xml:space="preserve">堆乱放、乱垦乱种、无违章搭建、</w:t>
            </w:r>
            <w:r>
              <w:rPr>
                <w:spacing w:val="10"/>
              </w:rPr>
              <w:t xml:space="preserve"> </w:t>
            </w:r>
            <w:r>
              <w:rPr>
                <w:spacing w:val="8"/>
              </w:rPr>
              <w:t xml:space="preserve">非法圈圩等</w:t>
            </w:r>
            <w:r/>
          </w:p>
        </w:tc>
        <w:tc>
          <w:tcPr>
            <w:tcW w:w="583" w:type="dxa"/>
            <w:vAlign w:val="top"/>
            <w:textDirection w:val="lrTb"/>
            <w:noWrap w:val="false"/>
          </w:tcPr>
          <w:p>
            <w:pPr>
              <w:spacing w:line="421" w:lineRule="auto"/>
              <w:rPr>
                <w:rFonts w:ascii="Arial" w:hAnsi="Calibri"/>
                <w:sz w:val="21"/>
              </w:rPr>
            </w:pPr>
            <w:r>
              <w:rPr>
                <w:rFonts w:ascii="Arial" w:hAnsi="Calibri"/>
                <w:sz w:val="21"/>
              </w:rPr>
            </w:r>
            <w:r/>
          </w:p>
          <w:p>
            <w:pPr>
              <w:ind w:left="241"/>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W w:w="3248" w:type="dxa"/>
            <w:vAlign w:val="top"/>
            <w:textDirection w:val="lrTb"/>
            <w:noWrap w:val="false"/>
          </w:tcPr>
          <w:p>
            <w:pPr>
              <w:spacing w:line="378" w:lineRule="auto"/>
              <w:rPr>
                <w:rFonts w:ascii="Arial" w:hAnsi="Calibri"/>
                <w:sz w:val="21"/>
              </w:rPr>
            </w:pPr>
            <w:r>
              <w:rPr>
                <w:rFonts w:ascii="Arial" w:hAnsi="Calibri"/>
                <w:sz w:val="21"/>
              </w:rPr>
            </w:r>
            <w:r/>
          </w:p>
          <w:p>
            <w:pPr>
              <w:pStyle w:val="1105"/>
              <w:ind w:left="114"/>
              <w:spacing w:before="62" w:line="228" w:lineRule="auto"/>
            </w:pPr>
            <w:r>
              <w:rPr>
                <w:spacing w:val="-3"/>
              </w:rPr>
              <w:t xml:space="preserve">发现</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7"/>
              </w:rPr>
              <w:t xml:space="preserve"> </w:t>
            </w:r>
            <w:r>
              <w:rPr>
                <w:spacing w:val="-3"/>
              </w:rPr>
              <w:t xml:space="preserve">处扣</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1"/>
              </w:rPr>
              <w:t xml:space="preserve"> </w:t>
            </w:r>
            <w:r>
              <w:rPr>
                <w:spacing w:val="-3"/>
              </w:rPr>
              <w:t xml:space="preserve">分</w:t>
            </w:r>
            <w:r/>
          </w:p>
        </w:tc>
      </w:tr>
      <w:tr>
        <w:trPr>
          <w:trHeight w:val="556"/>
        </w:trPr>
        <w:tc>
          <w:tcPr>
            <w:tcBorders>
              <w:top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99"/>
              <w:spacing w:before="244"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12</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7"/>
              <w:spacing w:before="207" w:line="227" w:lineRule="auto"/>
            </w:pPr>
            <w:r>
              <w:rPr>
                <w:spacing w:val="7"/>
              </w:rPr>
              <w:t xml:space="preserve">无问题小微水体</w:t>
            </w:r>
            <w:r/>
          </w:p>
        </w:tc>
        <w:tc>
          <w:tcPr>
            <w:tcW w:w="583" w:type="dxa"/>
            <w:vAlign w:val="top"/>
            <w:textDirection w:val="lrTb"/>
            <w:noWrap w:val="false"/>
          </w:tcPr>
          <w:p>
            <w:pPr>
              <w:ind w:left="246"/>
              <w:spacing w:before="244"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208" w:line="228" w:lineRule="auto"/>
            </w:pPr>
            <w:r>
              <w:rPr>
                <w:spacing w:val="-1"/>
              </w:rPr>
              <w:t xml:space="preserve">发现</w:t>
            </w:r>
            <w:r>
              <w:rPr>
                <w:spacing w:val="-20"/>
              </w:rPr>
              <w:t xml:space="preserve"> </w:t>
            </w:r>
            <w:r>
              <w:rPr>
                <w:rFonts w:ascii="Times New Roman" w:hAnsi="Times New Roman" w:eastAsia="Times New Roman" w:cs="Times New Roman"/>
                <w:spacing w:val="-1"/>
              </w:rPr>
              <w:t xml:space="preserve">1</w:t>
            </w:r>
            <w:r>
              <w:rPr>
                <w:rFonts w:ascii="Times New Roman" w:hAnsi="Times New Roman" w:eastAsia="Times New Roman" w:cs="Times New Roman"/>
                <w:spacing w:val="17"/>
              </w:rPr>
              <w:t xml:space="preserve"> </w:t>
            </w:r>
            <w:r>
              <w:rPr>
                <w:spacing w:val="-1"/>
              </w:rPr>
              <w:t xml:space="preserve">处扣</w:t>
            </w:r>
            <w:r>
              <w:rPr>
                <w:spacing w:val="-36"/>
              </w:rPr>
              <w:t xml:space="preserve"> </w:t>
            </w:r>
            <w:r>
              <w:rPr>
                <w:rFonts w:ascii="Times New Roman" w:hAnsi="Times New Roman" w:eastAsia="Times New Roman" w:cs="Times New Roman"/>
                <w:spacing w:val="-1"/>
              </w:rPr>
              <w:t xml:space="preserve">3</w:t>
            </w:r>
            <w:r>
              <w:rPr>
                <w:rFonts w:ascii="Times New Roman" w:hAnsi="Times New Roman" w:eastAsia="Times New Roman" w:cs="Times New Roman"/>
                <w:spacing w:val="11"/>
              </w:rPr>
              <w:t xml:space="preserve"> </w:t>
            </w:r>
            <w:r>
              <w:rPr>
                <w:spacing w:val="-1"/>
              </w:rPr>
              <w:t xml:space="preserve">分</w:t>
            </w:r>
            <w:r/>
          </w:p>
        </w:tc>
      </w:tr>
    </w:tbl>
    <w:p>
      <w:pPr>
        <w:spacing w:line="107" w:lineRule="exact"/>
        <w:rPr>
          <w:rFonts w:ascii="Arial" w:hAnsi="Arial" w:eastAsia="Arial" w:cs="Arial"/>
          <w:sz w:val="9"/>
          <w:szCs w:val="9"/>
        </w:rPr>
        <w:sectPr>
          <w:headerReference w:type="default" r:id="rId13"/>
          <w:footnotePr/>
          <w:endnotePr/>
          <w:type w:val="nextPage"/>
          <w:pgSz w:w="11907" w:h="16839" w:orient="portrait"/>
          <w:pgMar w:top="400" w:right="967" w:bottom="1954" w:left="967" w:header="0" w:footer="1680" w:gutter="0"/>
          <w:cols w:num="1" w:sep="0" w:space="720" w:equalWidth="1"/>
          <w:docGrid w:linePitch="360"/>
        </w:sectPr>
      </w:pPr>
      <w:r>
        <w:rPr>
          <w:rFonts w:ascii="Arial" w:hAnsi="Arial" w:eastAsia="Arial" w:cs="Arial"/>
          <w:sz w:val="9"/>
          <w:szCs w:val="9"/>
        </w:rPr>
      </w:r>
      <w:r/>
    </w:p>
    <w:tbl>
      <w:tblPr>
        <w:tblStyle w:val="1094"/>
        <w:tblpPr w:horzAnchor="page" w:tblpX="1061" w:vertAnchor="text" w:tblpY="204" w:leftFromText="180" w:topFromText="0" w:rightFromText="180" w:bottomFromText="0"/>
        <w:tblW w:w="996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8"/>
        <w:gridCol w:w="763"/>
        <w:gridCol w:w="1277"/>
        <w:gridCol w:w="2967"/>
        <w:gridCol w:w="583"/>
        <w:gridCol w:w="3248"/>
      </w:tblGrid>
      <w:tr>
        <w:trPr>
          <w:trHeight w:val="350"/>
        </w:trPr>
        <w:tc>
          <w:tcPr>
            <w:tcBorders>
              <w:bottom w:val="none" w:color="000000" w:sz="4" w:space="0"/>
            </w:tcBorders>
            <w:tcW w:w="1128" w:type="dxa"/>
            <w:vAlign w:val="top"/>
            <w:vMerge w:val="restart"/>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99"/>
              <w:spacing w:before="141"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13</w:t>
            </w:r>
            <w:r/>
          </w:p>
        </w:tc>
        <w:tc>
          <w:tcPr>
            <w:tcBorders>
              <w:bottom w:val="none" w:color="000000" w:sz="4" w:space="0"/>
            </w:tcBorders>
            <w:tcW w:w="1277" w:type="dxa"/>
            <w:vAlign w:val="top"/>
            <w:vMerge w:val="restart"/>
            <w:textDirection w:val="lrTb"/>
            <w:noWrap w:val="false"/>
          </w:tcPr>
          <w:p>
            <w:pPr>
              <w:pStyle w:val="1105"/>
              <w:ind w:left="122" w:right="20" w:firstLine="19"/>
              <w:spacing w:before="116" w:line="286" w:lineRule="auto"/>
            </w:pPr>
            <w:r>
              <w:rPr>
                <w:spacing w:val="8"/>
              </w:rPr>
              <w:t xml:space="preserve">农业废弃物</w:t>
            </w:r>
            <w:r>
              <w:t xml:space="preserve">  </w:t>
            </w:r>
            <w:r>
              <w:rPr>
                <w:spacing w:val="4"/>
              </w:rPr>
              <w:t xml:space="preserve">治理（</w:t>
            </w:r>
            <w:r>
              <w:rPr>
                <w:rFonts w:ascii="Times New Roman" w:hAnsi="Times New Roman" w:eastAsia="Times New Roman" w:cs="Times New Roman"/>
                <w:spacing w:val="4"/>
              </w:rPr>
              <w:t xml:space="preserve">6</w:t>
            </w:r>
            <w:r>
              <w:rPr>
                <w:rFonts w:ascii="Times New Roman" w:hAnsi="Times New Roman" w:eastAsia="Times New Roman" w:cs="Times New Roman"/>
                <w:spacing w:val="11"/>
              </w:rPr>
              <w:t xml:space="preserve"> </w:t>
            </w:r>
            <w:r>
              <w:rPr>
                <w:spacing w:val="4"/>
              </w:rPr>
              <w:t xml:space="preserve">分）</w:t>
            </w:r>
            <w:r/>
          </w:p>
        </w:tc>
        <w:tc>
          <w:tcPr>
            <w:tcW w:w="2967" w:type="dxa"/>
            <w:vAlign w:val="top"/>
            <w:textDirection w:val="lrTb"/>
            <w:noWrap w:val="false"/>
          </w:tcPr>
          <w:p>
            <w:pPr>
              <w:pStyle w:val="1105"/>
              <w:ind w:left="113"/>
              <w:spacing w:before="104" w:line="226" w:lineRule="auto"/>
            </w:pPr>
            <w:r>
              <w:rPr>
                <w:spacing w:val="9"/>
              </w:rPr>
              <w:t xml:space="preserve">农药包装废弃物集中回收处理</w:t>
            </w:r>
            <w:r/>
          </w:p>
        </w:tc>
        <w:tc>
          <w:tcPr>
            <w:tcW w:w="583" w:type="dxa"/>
            <w:vAlign w:val="top"/>
            <w:textDirection w:val="lrTb"/>
            <w:noWrap w:val="false"/>
          </w:tcPr>
          <w:p>
            <w:pPr>
              <w:ind w:left="246"/>
              <w:spacing w:before="141"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105" w:line="228" w:lineRule="auto"/>
            </w:pPr>
            <w:r>
              <w:rPr>
                <w:spacing w:val="-3"/>
              </w:rPr>
              <w:t xml:space="preserve">发现</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7"/>
              </w:rPr>
              <w:t xml:space="preserve"> </w:t>
            </w:r>
            <w:r>
              <w:rPr>
                <w:spacing w:val="-3"/>
              </w:rPr>
              <w:t xml:space="preserve">处扣</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1"/>
              </w:rPr>
              <w:t xml:space="preserve"> </w:t>
            </w:r>
            <w:r>
              <w:rPr>
                <w:spacing w:val="-3"/>
              </w:rPr>
              <w:t xml:space="preserve">分</w:t>
            </w:r>
            <w:r/>
          </w:p>
        </w:tc>
      </w:tr>
      <w:tr>
        <w:trPr>
          <w:trHeight w:val="360"/>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99"/>
              <w:spacing w:before="143"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14</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7"/>
              <w:spacing w:before="107" w:line="225" w:lineRule="auto"/>
            </w:pPr>
            <w:r>
              <w:rPr>
                <w:spacing w:val="8"/>
              </w:rPr>
              <w:t xml:space="preserve">无露天焚烧秸秆、柴草等</w:t>
            </w:r>
            <w:r/>
          </w:p>
        </w:tc>
        <w:tc>
          <w:tcPr>
            <w:tcW w:w="583" w:type="dxa"/>
            <w:vAlign w:val="top"/>
            <w:textDirection w:val="lrTb"/>
            <w:noWrap w:val="false"/>
          </w:tcPr>
          <w:p>
            <w:pPr>
              <w:ind w:left="246"/>
              <w:spacing w:before="143"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107" w:line="228" w:lineRule="auto"/>
            </w:pPr>
            <w:r>
              <w:t xml:space="preserve">发现</w:t>
            </w:r>
            <w:r>
              <w:rPr>
                <w:spacing w:val="-22"/>
              </w:rPr>
              <w:t xml:space="preserve"> </w:t>
            </w:r>
            <w:r>
              <w:rPr>
                <w:rFonts w:ascii="Times New Roman" w:hAnsi="Times New Roman" w:eastAsia="Times New Roman" w:cs="Times New Roman"/>
              </w:rPr>
              <w:t xml:space="preserve">1</w:t>
            </w:r>
            <w:r>
              <w:rPr>
                <w:rFonts w:ascii="Times New Roman" w:hAnsi="Times New Roman" w:eastAsia="Times New Roman" w:cs="Times New Roman"/>
                <w:spacing w:val="17"/>
              </w:rPr>
              <w:t xml:space="preserve"> </w:t>
            </w:r>
            <w:r>
              <w:t xml:space="preserve">处扣</w:t>
            </w:r>
            <w:r>
              <w:rPr>
                <w:spacing w:val="-40"/>
              </w:rPr>
              <w:t xml:space="preserve"> </w:t>
            </w:r>
            <w:r>
              <w:rPr>
                <w:rFonts w:ascii="Times New Roman" w:hAnsi="Times New Roman" w:eastAsia="Times New Roman" w:cs="Times New Roman"/>
              </w:rPr>
              <w:t xml:space="preserve">2</w:t>
            </w:r>
            <w:r>
              <w:rPr>
                <w:rFonts w:ascii="Times New Roman" w:hAnsi="Times New Roman" w:eastAsia="Times New Roman" w:cs="Times New Roman"/>
                <w:spacing w:val="11"/>
              </w:rPr>
              <w:t xml:space="preserve"> </w:t>
            </w:r>
            <w:r>
              <w:t xml:space="preserve">分</w:t>
            </w:r>
            <w:r/>
          </w:p>
        </w:tc>
      </w:tr>
      <w:tr>
        <w:trPr>
          <w:trHeight w:val="68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0" w:lineRule="auto"/>
              <w:rPr>
                <w:rFonts w:ascii="Arial" w:hAnsi="Calibri"/>
                <w:sz w:val="21"/>
              </w:rPr>
            </w:pPr>
            <w:r>
              <w:rPr>
                <w:rFonts w:ascii="Arial" w:hAnsi="Calibri"/>
                <w:sz w:val="21"/>
              </w:rPr>
            </w:r>
            <w:r/>
          </w:p>
          <w:p>
            <w:pPr>
              <w:ind w:left="299"/>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15</w:t>
            </w:r>
            <w:r/>
          </w:p>
        </w:tc>
        <w:tc>
          <w:tcPr>
            <w:tcBorders>
              <w:bottom w:val="none" w:color="000000" w:sz="4" w:space="0"/>
            </w:tcBorders>
            <w:tcW w:w="1277" w:type="dxa"/>
            <w:vAlign w:val="top"/>
            <w:vMerge w:val="restart"/>
            <w:textDirection w:val="lrTb"/>
            <w:noWrap w:val="false"/>
          </w:tcPr>
          <w:p>
            <w:pPr>
              <w:spacing w:line="298" w:lineRule="auto"/>
              <w:rPr>
                <w:rFonts w:ascii="Arial" w:hAnsi="Calibri"/>
                <w:sz w:val="21"/>
              </w:rPr>
            </w:pPr>
            <w:r>
              <w:rPr>
                <w:rFonts w:ascii="Arial" w:hAnsi="Calibri"/>
                <w:sz w:val="21"/>
              </w:rPr>
            </w:r>
            <w:r/>
          </w:p>
          <w:p>
            <w:pPr>
              <w:spacing w:line="298" w:lineRule="auto"/>
              <w:rPr>
                <w:rFonts w:ascii="Arial" w:hAnsi="Calibri"/>
                <w:sz w:val="21"/>
              </w:rPr>
            </w:pPr>
            <w:r>
              <w:rPr>
                <w:rFonts w:ascii="Arial" w:hAnsi="Calibri"/>
                <w:sz w:val="21"/>
              </w:rPr>
            </w:r>
            <w:r/>
          </w:p>
          <w:p>
            <w:pPr>
              <w:spacing w:line="298" w:lineRule="auto"/>
              <w:rPr>
                <w:rFonts w:ascii="Arial" w:hAnsi="Calibri"/>
                <w:sz w:val="21"/>
              </w:rPr>
            </w:pPr>
            <w:r>
              <w:rPr>
                <w:rFonts w:ascii="Arial" w:hAnsi="Calibri"/>
                <w:sz w:val="21"/>
              </w:rPr>
            </w:r>
            <w:r/>
          </w:p>
          <w:p>
            <w:pPr>
              <w:pStyle w:val="1105"/>
              <w:ind w:left="116" w:right="116" w:firstLine="20"/>
              <w:spacing w:before="61" w:line="314" w:lineRule="auto"/>
            </w:pPr>
            <w:r>
              <w:rPr>
                <w:spacing w:val="9"/>
              </w:rPr>
              <w:t xml:space="preserve">基础设施建</w:t>
            </w:r>
            <w:r>
              <w:t xml:space="preserve"> </w:t>
            </w:r>
            <w:r>
              <w:rPr>
                <w:spacing w:val="-4"/>
              </w:rPr>
              <w:t xml:space="preserve">设（</w:t>
            </w:r>
            <w:r>
              <w:rPr>
                <w:spacing w:val="-42"/>
              </w:rPr>
              <w:t xml:space="preserve"> </w:t>
            </w:r>
            <w:r>
              <w:rPr>
                <w:rFonts w:ascii="Times New Roman" w:hAnsi="Times New Roman" w:eastAsia="Times New Roman" w:cs="Times New Roman"/>
                <w:spacing w:val="-4"/>
              </w:rPr>
              <w:t xml:space="preserve">10</w:t>
            </w:r>
            <w:r>
              <w:rPr>
                <w:rFonts w:ascii="Times New Roman" w:hAnsi="Times New Roman" w:eastAsia="Times New Roman" w:cs="Times New Roman"/>
                <w:spacing w:val="11"/>
              </w:rPr>
              <w:t xml:space="preserve"> </w:t>
            </w:r>
            <w:r>
              <w:rPr>
                <w:spacing w:val="-4"/>
              </w:rPr>
              <w:t xml:space="preserve">分）</w:t>
            </w:r>
            <w:r/>
          </w:p>
        </w:tc>
        <w:tc>
          <w:tcPr>
            <w:tcW w:w="2967" w:type="dxa"/>
            <w:vAlign w:val="top"/>
            <w:textDirection w:val="lrTb"/>
            <w:noWrap w:val="false"/>
          </w:tcPr>
          <w:p>
            <w:pPr>
              <w:pStyle w:val="1105"/>
              <w:ind w:left="122" w:right="106" w:hanging="9"/>
              <w:spacing w:before="99" w:line="280" w:lineRule="auto"/>
            </w:pPr>
            <w:r>
              <w:rPr>
                <w:spacing w:val="5"/>
              </w:rPr>
              <w:t xml:space="preserve">农村公路全部实现路田分家、路</w:t>
            </w:r>
            <w:r>
              <w:rPr>
                <w:spacing w:val="11"/>
              </w:rPr>
              <w:t xml:space="preserve"> </w:t>
            </w:r>
            <w:r>
              <w:rPr>
                <w:spacing w:val="3"/>
              </w:rPr>
              <w:t xml:space="preserve">宅分家</w:t>
            </w:r>
            <w:r/>
          </w:p>
        </w:tc>
        <w:tc>
          <w:tcPr>
            <w:tcW w:w="583" w:type="dxa"/>
            <w:vAlign w:val="top"/>
            <w:textDirection w:val="lrTb"/>
            <w:noWrap w:val="false"/>
          </w:tcPr>
          <w:p>
            <w:pPr>
              <w:spacing w:line="250"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270" w:line="227" w:lineRule="auto"/>
            </w:pPr>
            <w:r>
              <w:rPr>
                <w:spacing w:val="5"/>
              </w:rPr>
              <w:t xml:space="preserve">未达到扣</w:t>
            </w:r>
            <w:r>
              <w:rPr>
                <w:spacing w:val="-32"/>
              </w:rPr>
              <w:t xml:space="preserve"> </w:t>
            </w:r>
            <w:r>
              <w:rPr>
                <w:rFonts w:ascii="Times New Roman" w:hAnsi="Times New Roman" w:eastAsia="Times New Roman" w:cs="Times New Roman"/>
                <w:spacing w:val="5"/>
              </w:rPr>
              <w:t xml:space="preserve">3 </w:t>
            </w:r>
            <w:r>
              <w:rPr>
                <w:spacing w:val="5"/>
              </w:rPr>
              <w:t xml:space="preserve">分</w:t>
            </w:r>
            <w:r/>
          </w:p>
        </w:tc>
      </w:tr>
      <w:tr>
        <w:trPr>
          <w:trHeight w:val="68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0" w:lineRule="auto"/>
              <w:rPr>
                <w:rFonts w:ascii="Arial" w:hAnsi="Calibri"/>
                <w:sz w:val="21"/>
              </w:rPr>
            </w:pPr>
            <w:r>
              <w:rPr>
                <w:rFonts w:ascii="Arial" w:hAnsi="Calibri"/>
                <w:sz w:val="21"/>
              </w:rPr>
            </w:r>
            <w:r/>
          </w:p>
          <w:p>
            <w:pPr>
              <w:ind w:left="299"/>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16</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4" w:right="106" w:hanging="3"/>
              <w:spacing w:before="99" w:line="279" w:lineRule="auto"/>
            </w:pPr>
            <w:r>
              <w:rPr>
                <w:spacing w:val="9"/>
              </w:rPr>
              <w:t xml:space="preserve">村组道路、入户道路等路面平</w:t>
            </w:r>
            <w:r>
              <w:rPr>
                <w:spacing w:val="1"/>
              </w:rPr>
              <w:t xml:space="preserve">  </w:t>
            </w:r>
            <w:r>
              <w:rPr>
                <w:spacing w:val="5"/>
              </w:rPr>
              <w:t xml:space="preserve">整，无泥泞、坑洼、积水等现象</w:t>
            </w:r>
            <w:r/>
          </w:p>
        </w:tc>
        <w:tc>
          <w:tcPr>
            <w:tcW w:w="583" w:type="dxa"/>
            <w:vAlign w:val="top"/>
            <w:textDirection w:val="lrTb"/>
            <w:noWrap w:val="false"/>
          </w:tcPr>
          <w:p>
            <w:pPr>
              <w:spacing w:line="250"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5" w:right="185"/>
              <w:spacing w:before="99" w:line="279" w:lineRule="auto"/>
            </w:pPr>
            <w:r>
              <w:rPr>
                <w:spacing w:val="4"/>
              </w:rPr>
              <w:t xml:space="preserve">道路泥泞、坑洼、积水等</w:t>
            </w:r>
            <w:r>
              <w:rPr>
                <w:spacing w:val="-14"/>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8"/>
              </w:rPr>
              <w:t xml:space="preserve"> </w:t>
            </w:r>
            <w:r>
              <w:rPr>
                <w:spacing w:val="4"/>
              </w:rPr>
              <w:t xml:space="preserve">处扣</w:t>
            </w:r>
            <w:r>
              <w:rPr>
                <w:spacing w:val="-22"/>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rPr>
              <w:t xml:space="preserve"> </w:t>
            </w:r>
            <w:r>
              <w:t xml:space="preserve">分</w:t>
            </w:r>
            <w:r/>
          </w:p>
        </w:tc>
      </w:tr>
      <w:tr>
        <w:trPr>
          <w:trHeight w:val="102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419" w:lineRule="auto"/>
              <w:rPr>
                <w:rFonts w:ascii="Arial" w:hAnsi="Calibri"/>
                <w:sz w:val="21"/>
              </w:rPr>
            </w:pPr>
            <w:r>
              <w:rPr>
                <w:rFonts w:ascii="Arial" w:hAnsi="Calibri"/>
                <w:sz w:val="21"/>
              </w:rPr>
            </w:r>
            <w:r/>
          </w:p>
          <w:p>
            <w:pPr>
              <w:ind w:left="299"/>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17</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6" w:right="106" w:hanging="5"/>
              <w:spacing w:before="270" w:line="315" w:lineRule="auto"/>
            </w:pPr>
            <w:r>
              <w:rPr>
                <w:spacing w:val="5"/>
              </w:rPr>
              <w:t xml:space="preserve">村组道路基本实现亮化，体育锻</w:t>
            </w:r>
            <w:r>
              <w:rPr>
                <w:spacing w:val="12"/>
              </w:rPr>
              <w:t xml:space="preserve"> </w:t>
            </w:r>
            <w:r>
              <w:rPr>
                <w:spacing w:val="8"/>
              </w:rPr>
              <w:t xml:space="preserve">炼设施等完好，保证正常使用</w:t>
            </w:r>
            <w:r/>
          </w:p>
        </w:tc>
        <w:tc>
          <w:tcPr>
            <w:tcW w:w="583" w:type="dxa"/>
            <w:vAlign w:val="top"/>
            <w:textDirection w:val="lrTb"/>
            <w:noWrap w:val="false"/>
          </w:tcPr>
          <w:p>
            <w:pPr>
              <w:spacing w:line="419" w:lineRule="auto"/>
              <w:rPr>
                <w:rFonts w:ascii="Arial" w:hAnsi="Calibri"/>
                <w:sz w:val="21"/>
              </w:rPr>
            </w:pPr>
            <w:r>
              <w:rPr>
                <w:rFonts w:ascii="Arial" w:hAnsi="Calibri"/>
                <w:sz w:val="21"/>
              </w:rPr>
            </w:r>
            <w:r/>
          </w:p>
          <w:p>
            <w:pPr>
              <w:ind w:left="241"/>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W w:w="3248" w:type="dxa"/>
            <w:vAlign w:val="top"/>
            <w:textDirection w:val="lrTb"/>
            <w:noWrap w:val="false"/>
          </w:tcPr>
          <w:p>
            <w:pPr>
              <w:pStyle w:val="1105"/>
              <w:ind w:left="110" w:right="136" w:firstLine="5"/>
              <w:jc w:val="both"/>
              <w:spacing w:before="100" w:line="296" w:lineRule="auto"/>
            </w:pPr>
            <w:r>
              <w:rPr>
                <w:spacing w:val="8"/>
              </w:rPr>
              <w:t xml:space="preserve">道路未亮化扣</w:t>
            </w:r>
            <w:r>
              <w:rPr>
                <w:spacing w:val="-37"/>
              </w:rPr>
              <w:t xml:space="preserve"> </w:t>
            </w:r>
            <w:r>
              <w:rPr>
                <w:rFonts w:ascii="Times New Roman" w:hAnsi="Times New Roman" w:eastAsia="Times New Roman" w:cs="Times New Roman"/>
                <w:spacing w:val="8"/>
              </w:rPr>
              <w:t xml:space="preserve">2 </w:t>
            </w:r>
            <w:r>
              <w:rPr>
                <w:spacing w:val="8"/>
              </w:rPr>
              <w:t xml:space="preserve">分；路灯养护不到</w:t>
            </w:r>
            <w:r>
              <w:t xml:space="preserve"> </w:t>
            </w:r>
            <w:r>
              <w:rPr>
                <w:spacing w:val="4"/>
              </w:rPr>
              <w:t xml:space="preserve">位</w:t>
            </w:r>
            <w:r>
              <w:rPr>
                <w:spacing w:val="-13"/>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7"/>
              </w:rPr>
              <w:t xml:space="preserve"> </w:t>
            </w:r>
            <w:r>
              <w:rPr>
                <w:spacing w:val="4"/>
              </w:rPr>
              <w:t xml:space="preserve">处扣</w:t>
            </w:r>
            <w:r>
              <w:rPr>
                <w:spacing w:val="-19"/>
              </w:rPr>
              <w:t xml:space="preserve"> </w:t>
            </w:r>
            <w:r>
              <w:rPr>
                <w:rFonts w:ascii="Times New Roman" w:hAnsi="Times New Roman" w:eastAsia="Times New Roman" w:cs="Times New Roman"/>
                <w:spacing w:val="4"/>
              </w:rPr>
              <w:t xml:space="preserve">1 </w:t>
            </w:r>
            <w:r>
              <w:rPr>
                <w:spacing w:val="4"/>
              </w:rPr>
              <w:t xml:space="preserve">分，体育锻炼等公共设</w:t>
            </w:r>
            <w:r>
              <w:t xml:space="preserve"> </w:t>
            </w:r>
            <w:r>
              <w:rPr>
                <w:spacing w:val="-2"/>
              </w:rPr>
              <w:t xml:space="preserve">施损坏</w:t>
            </w:r>
            <w:r>
              <w:rPr>
                <w:spacing w:val="-16"/>
              </w:rPr>
              <w:t xml:space="preserve"> </w:t>
            </w:r>
            <w:r>
              <w:rPr>
                <w:rFonts w:ascii="Times New Roman" w:hAnsi="Times New Roman" w:eastAsia="Times New Roman" w:cs="Times New Roman"/>
                <w:spacing w:val="-2"/>
              </w:rPr>
              <w:t xml:space="preserve">1</w:t>
            </w:r>
            <w:r>
              <w:rPr>
                <w:rFonts w:ascii="Times New Roman" w:hAnsi="Times New Roman" w:eastAsia="Times New Roman" w:cs="Times New Roman"/>
                <w:spacing w:val="20"/>
              </w:rPr>
              <w:t xml:space="preserve"> </w:t>
            </w:r>
            <w:r>
              <w:rPr>
                <w:spacing w:val="-2"/>
              </w:rPr>
              <w:t xml:space="preserve">处扣</w:t>
            </w:r>
            <w:r>
              <w:rPr>
                <w:spacing w:val="-21"/>
              </w:rPr>
              <w:t xml:space="preserve"> </w:t>
            </w:r>
            <w:r>
              <w:rPr>
                <w:rFonts w:ascii="Times New Roman" w:hAnsi="Times New Roman" w:eastAsia="Times New Roman" w:cs="Times New Roman"/>
                <w:spacing w:val="-2"/>
              </w:rPr>
              <w:t xml:space="preserve">1</w:t>
            </w:r>
            <w:r>
              <w:rPr>
                <w:rFonts w:ascii="Times New Roman" w:hAnsi="Times New Roman" w:eastAsia="Times New Roman" w:cs="Times New Roman"/>
                <w:spacing w:val="13"/>
              </w:rPr>
              <w:t xml:space="preserve"> </w:t>
            </w:r>
            <w:r>
              <w:rPr>
                <w:spacing w:val="-2"/>
              </w:rPr>
              <w:t xml:space="preserve">分</w:t>
            </w:r>
            <w:r/>
          </w:p>
        </w:tc>
      </w:tr>
      <w:tr>
        <w:trPr>
          <w:trHeight w:val="687"/>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1" w:lineRule="auto"/>
              <w:rPr>
                <w:rFonts w:ascii="Arial" w:hAnsi="Calibri"/>
                <w:sz w:val="21"/>
              </w:rPr>
            </w:pPr>
            <w:r>
              <w:rPr>
                <w:rFonts w:ascii="Arial" w:hAnsi="Calibri"/>
                <w:sz w:val="21"/>
              </w:rPr>
            </w:r>
            <w:r/>
          </w:p>
          <w:p>
            <w:pPr>
              <w:ind w:left="299"/>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18</w:t>
            </w:r>
            <w:r/>
          </w:p>
        </w:tc>
        <w:tc>
          <w:tcPr>
            <w:tcBorders>
              <w:bottom w:val="none" w:color="000000" w:sz="4" w:space="0"/>
            </w:tcBorders>
            <w:tcW w:w="1277" w:type="dxa"/>
            <w:vAlign w:val="top"/>
            <w:vMerge w:val="restart"/>
            <w:textDirection w:val="lrTb"/>
            <w:noWrap w:val="false"/>
          </w:tcPr>
          <w:p>
            <w:pPr>
              <w:spacing w:line="382" w:lineRule="auto"/>
              <w:rPr>
                <w:rFonts w:ascii="Arial" w:hAnsi="Calibri"/>
                <w:sz w:val="21"/>
              </w:rPr>
            </w:pPr>
            <w:r>
              <w:rPr>
                <w:rFonts w:ascii="Arial" w:hAnsi="Calibri"/>
                <w:sz w:val="21"/>
              </w:rPr>
            </w:r>
            <w:r/>
          </w:p>
          <w:p>
            <w:pPr>
              <w:pStyle w:val="1105"/>
              <w:ind w:left="171" w:right="139" w:hanging="31"/>
              <w:spacing w:before="62" w:line="316" w:lineRule="auto"/>
            </w:pPr>
            <w:r>
              <w:rPr>
                <w:spacing w:val="8"/>
              </w:rPr>
              <w:t xml:space="preserve">村容村貌提</w:t>
            </w:r>
            <w:r>
              <w:rPr>
                <w:spacing w:val="1"/>
              </w:rPr>
              <w:t xml:space="preserve"> </w:t>
            </w:r>
            <w:r>
              <w:rPr>
                <w:spacing w:val="7"/>
              </w:rPr>
              <w:t xml:space="preserve">升（</w:t>
            </w:r>
            <w:r>
              <w:rPr>
                <w:spacing w:val="-53"/>
              </w:rPr>
              <w:t xml:space="preserve"> </w:t>
            </w:r>
            <w:r>
              <w:rPr>
                <w:rFonts w:ascii="Times New Roman" w:hAnsi="Times New Roman" w:eastAsia="Times New Roman" w:cs="Times New Roman"/>
                <w:spacing w:val="7"/>
              </w:rPr>
              <w:t xml:space="preserve">8</w:t>
            </w:r>
            <w:r>
              <w:rPr>
                <w:spacing w:val="7"/>
              </w:rPr>
              <w:t xml:space="preserve">分）</w:t>
            </w:r>
            <w:r/>
          </w:p>
        </w:tc>
        <w:tc>
          <w:tcPr>
            <w:tcW w:w="2967" w:type="dxa"/>
            <w:vAlign w:val="top"/>
            <w:textDirection w:val="lrTb"/>
            <w:noWrap w:val="false"/>
          </w:tcPr>
          <w:p>
            <w:pPr>
              <w:pStyle w:val="1105"/>
              <w:ind w:left="115" w:right="105" w:hanging="4"/>
              <w:spacing w:before="102" w:line="279" w:lineRule="auto"/>
            </w:pPr>
            <w:r>
              <w:rPr>
                <w:spacing w:val="6"/>
              </w:rPr>
              <w:t xml:space="preserve">村庄风貌协调，合理对河塘、道</w:t>
            </w:r>
            <w:r>
              <w:t xml:space="preserve"> </w:t>
            </w:r>
            <w:r>
              <w:rPr>
                <w:spacing w:val="5"/>
              </w:rPr>
              <w:t xml:space="preserve">路、住宅周边实施绿化美化。</w:t>
            </w:r>
            <w:r/>
          </w:p>
        </w:tc>
        <w:tc>
          <w:tcPr>
            <w:tcW w:w="583" w:type="dxa"/>
            <w:vAlign w:val="top"/>
            <w:textDirection w:val="lrTb"/>
            <w:noWrap w:val="false"/>
          </w:tcPr>
          <w:p>
            <w:pPr>
              <w:spacing w:line="254" w:lineRule="auto"/>
              <w:rPr>
                <w:rFonts w:ascii="Arial" w:hAnsi="Calibri"/>
                <w:sz w:val="21"/>
              </w:rPr>
            </w:pPr>
            <w:r>
              <w:rPr>
                <w:rFonts w:ascii="Arial" w:hAnsi="Calibri"/>
                <w:sz w:val="21"/>
              </w:rPr>
            </w:r>
            <w:r/>
          </w:p>
          <w:p>
            <w:pPr>
              <w:ind w:left="247"/>
              <w:spacing w:before="55"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W w:w="3248" w:type="dxa"/>
            <w:vAlign w:val="top"/>
            <w:textDirection w:val="lrTb"/>
            <w:noWrap w:val="false"/>
          </w:tcPr>
          <w:p>
            <w:pPr>
              <w:pStyle w:val="1105"/>
              <w:ind w:left="141"/>
              <w:spacing w:before="271" w:line="227" w:lineRule="auto"/>
            </w:pPr>
            <w:r>
              <w:rPr>
                <w:spacing w:val="6"/>
              </w:rPr>
              <w:t xml:space="preserve">由各级评审组综合评价</w:t>
            </w:r>
            <w:r/>
          </w:p>
        </w:tc>
      </w:tr>
      <w:tr>
        <w:trPr>
          <w:trHeight w:val="683"/>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1" w:lineRule="auto"/>
              <w:rPr>
                <w:rFonts w:ascii="Arial" w:hAnsi="Calibri"/>
                <w:sz w:val="21"/>
              </w:rPr>
            </w:pPr>
            <w:r>
              <w:rPr>
                <w:rFonts w:ascii="Arial" w:hAnsi="Calibri"/>
                <w:sz w:val="21"/>
              </w:rPr>
            </w:r>
            <w:r/>
          </w:p>
          <w:p>
            <w:pPr>
              <w:ind w:left="299"/>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19</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20" w:right="106" w:hanging="12"/>
              <w:spacing w:before="100" w:line="278" w:lineRule="auto"/>
              <w:rPr>
                <w:rFonts w:ascii="Times New Roman" w:hAnsi="Times New Roman" w:eastAsia="Times New Roman" w:cs="Times New Roman"/>
              </w:rPr>
            </w:pPr>
            <w:r>
              <w:rPr>
                <w:spacing w:val="6"/>
              </w:rPr>
              <w:t xml:space="preserve">基本实现庭院美化，美丽庭院农</w:t>
            </w:r>
            <w:r>
              <w:rPr>
                <w:spacing w:val="2"/>
              </w:rPr>
              <w:t xml:space="preserve"> </w:t>
            </w:r>
            <w:r>
              <w:rPr>
                <w:spacing w:val="5"/>
              </w:rPr>
              <w:t xml:space="preserve">户占比达到</w:t>
            </w:r>
            <w:r>
              <w:rPr>
                <w:spacing w:val="-33"/>
              </w:rPr>
              <w:t xml:space="preserve"> </w:t>
            </w:r>
            <w:r>
              <w:rPr>
                <w:rFonts w:ascii="Times New Roman" w:hAnsi="Times New Roman" w:eastAsia="Times New Roman" w:cs="Times New Roman"/>
                <w:spacing w:val="5"/>
              </w:rPr>
              <w:t xml:space="preserve">30%</w:t>
            </w:r>
            <w:r/>
          </w:p>
        </w:tc>
        <w:tc>
          <w:tcPr>
            <w:tcW w:w="583" w:type="dxa"/>
            <w:vAlign w:val="top"/>
            <w:textDirection w:val="lrTb"/>
            <w:noWrap w:val="false"/>
          </w:tcPr>
          <w:p>
            <w:pPr>
              <w:spacing w:line="250"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20" w:right="116" w:firstLine="2"/>
              <w:spacing w:before="100" w:line="278" w:lineRule="auto"/>
            </w:pPr>
            <w:r>
              <w:rPr>
                <w:spacing w:val="7"/>
              </w:rPr>
              <w:t xml:space="preserve">市级美丽庭院农户占比未达到</w:t>
            </w:r>
            <w:r>
              <w:rPr>
                <w:spacing w:val="-23"/>
              </w:rPr>
              <w:t xml:space="preserve"> </w:t>
            </w:r>
            <w:r>
              <w:rPr>
                <w:rFonts w:ascii="Times New Roman" w:hAnsi="Times New Roman" w:eastAsia="Times New Roman" w:cs="Times New Roman"/>
                <w:spacing w:val="7"/>
              </w:rPr>
              <w:t xml:space="preserve">30%</w:t>
            </w:r>
            <w:r>
              <w:rPr>
                <w:rFonts w:ascii="Times New Roman" w:hAnsi="Times New Roman" w:eastAsia="Times New Roman" w:cs="Times New Roman"/>
              </w:rPr>
              <w:t xml:space="preserve"> </w:t>
            </w:r>
            <w:r>
              <w:rPr>
                <w:spacing w:val="-3"/>
              </w:rPr>
              <w:t xml:space="preserve">扣</w:t>
            </w:r>
            <w:r>
              <w:rPr>
                <w:spacing w:val="-35"/>
              </w:rPr>
              <w:t xml:space="preserve"> </w:t>
            </w:r>
            <w:r>
              <w:rPr>
                <w:rFonts w:ascii="Times New Roman" w:hAnsi="Times New Roman" w:eastAsia="Times New Roman" w:cs="Times New Roman"/>
                <w:spacing w:val="-3"/>
              </w:rPr>
              <w:t xml:space="preserve">3</w:t>
            </w:r>
            <w:r>
              <w:rPr>
                <w:rFonts w:ascii="Times New Roman" w:hAnsi="Times New Roman" w:eastAsia="Times New Roman" w:cs="Times New Roman"/>
                <w:spacing w:val="11"/>
              </w:rPr>
              <w:t xml:space="preserve"> </w:t>
            </w:r>
            <w:r>
              <w:rPr>
                <w:spacing w:val="-3"/>
              </w:rPr>
              <w:t xml:space="preserve">分</w:t>
            </w:r>
            <w:r/>
          </w:p>
        </w:tc>
      </w:tr>
      <w:tr>
        <w:trPr>
          <w:trHeight w:val="68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1"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20</w:t>
            </w:r>
            <w:r/>
          </w:p>
        </w:tc>
        <w:tc>
          <w:tcPr>
            <w:tcBorders>
              <w:bottom w:val="none" w:color="000000" w:sz="4" w:space="0"/>
            </w:tcBorders>
            <w:tcW w:w="1277" w:type="dxa"/>
            <w:vAlign w:val="top"/>
            <w:vMerge w:val="restart"/>
            <w:textDirection w:val="lrTb"/>
            <w:noWrap w:val="false"/>
          </w:tcPr>
          <w:p>
            <w:pPr>
              <w:spacing w:line="294" w:lineRule="auto"/>
              <w:rPr>
                <w:rFonts w:ascii="Arial" w:hAnsi="Calibri"/>
                <w:sz w:val="21"/>
              </w:rPr>
            </w:pPr>
            <w:r>
              <w:rPr>
                <w:rFonts w:ascii="Arial" w:hAnsi="Calibri"/>
                <w:sz w:val="21"/>
              </w:rPr>
            </w:r>
            <w:r/>
          </w:p>
          <w:p>
            <w:pPr>
              <w:spacing w:line="295" w:lineRule="auto"/>
              <w:rPr>
                <w:rFonts w:ascii="Arial" w:hAnsi="Calibri"/>
                <w:sz w:val="21"/>
              </w:rPr>
            </w:pPr>
            <w:r>
              <w:rPr>
                <w:rFonts w:ascii="Arial" w:hAnsi="Calibri"/>
                <w:sz w:val="21"/>
              </w:rPr>
            </w:r>
            <w:r/>
          </w:p>
          <w:p>
            <w:pPr>
              <w:pStyle w:val="1105"/>
              <w:ind w:left="127" w:right="116" w:firstLine="12"/>
              <w:spacing w:before="62" w:line="316" w:lineRule="auto"/>
            </w:pPr>
            <w:r>
              <w:rPr>
                <w:spacing w:val="8"/>
              </w:rPr>
              <w:t xml:space="preserve">公共空间整</w:t>
            </w:r>
            <w:r>
              <w:rPr>
                <w:spacing w:val="2"/>
              </w:rPr>
              <w:t xml:space="preserve"> </w:t>
            </w:r>
            <w:r>
              <w:rPr>
                <w:spacing w:val="-6"/>
              </w:rPr>
              <w:t xml:space="preserve">治（</w:t>
            </w:r>
            <w:r>
              <w:rPr>
                <w:spacing w:val="-41"/>
              </w:rPr>
              <w:t xml:space="preserve"> </w:t>
            </w:r>
            <w:r>
              <w:rPr>
                <w:rFonts w:ascii="Times New Roman" w:hAnsi="Times New Roman" w:eastAsia="Times New Roman" w:cs="Times New Roman"/>
                <w:spacing w:val="-6"/>
              </w:rPr>
              <w:t xml:space="preserve">12</w:t>
            </w:r>
            <w:r>
              <w:rPr>
                <w:rFonts w:ascii="Times New Roman" w:hAnsi="Times New Roman" w:eastAsia="Times New Roman" w:cs="Times New Roman"/>
                <w:spacing w:val="11"/>
              </w:rPr>
              <w:t xml:space="preserve"> </w:t>
            </w:r>
            <w:r>
              <w:rPr>
                <w:spacing w:val="-6"/>
              </w:rPr>
              <w:t xml:space="preserve">分）</w:t>
            </w:r>
            <w:r/>
          </w:p>
        </w:tc>
        <w:tc>
          <w:tcPr>
            <w:tcW w:w="2967" w:type="dxa"/>
            <w:vAlign w:val="top"/>
            <w:textDirection w:val="lrTb"/>
            <w:noWrap w:val="false"/>
          </w:tcPr>
          <w:p>
            <w:pPr>
              <w:pStyle w:val="1105"/>
              <w:ind w:left="119" w:right="106" w:hanging="2"/>
              <w:spacing w:before="103" w:line="278" w:lineRule="auto"/>
            </w:pPr>
            <w:r>
              <w:rPr>
                <w:spacing w:val="5"/>
              </w:rPr>
              <w:t xml:space="preserve">无违章搭建、无乱堆乱放、乱拉</w:t>
            </w:r>
            <w:r>
              <w:rPr>
                <w:spacing w:val="7"/>
              </w:rPr>
              <w:t xml:space="preserve"> 乱挂、乱贴乱画</w:t>
            </w:r>
            <w:r/>
          </w:p>
        </w:tc>
        <w:tc>
          <w:tcPr>
            <w:tcW w:w="583" w:type="dxa"/>
            <w:vAlign w:val="top"/>
            <w:textDirection w:val="lrTb"/>
            <w:noWrap w:val="false"/>
          </w:tcPr>
          <w:p>
            <w:pPr>
              <w:spacing w:line="254" w:lineRule="auto"/>
              <w:rPr>
                <w:rFonts w:ascii="Arial" w:hAnsi="Calibri"/>
                <w:sz w:val="21"/>
              </w:rPr>
            </w:pPr>
            <w:r>
              <w:rPr>
                <w:rFonts w:ascii="Arial" w:hAnsi="Calibri"/>
                <w:sz w:val="21"/>
              </w:rPr>
            </w:r>
            <w:r/>
          </w:p>
          <w:p>
            <w:pPr>
              <w:ind w:left="247"/>
              <w:spacing w:before="55"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W w:w="3248" w:type="dxa"/>
            <w:vAlign w:val="top"/>
            <w:textDirection w:val="lrTb"/>
            <w:noWrap w:val="false"/>
          </w:tcPr>
          <w:p>
            <w:pPr>
              <w:pStyle w:val="1105"/>
              <w:ind w:left="114"/>
              <w:spacing w:before="271" w:line="228" w:lineRule="auto"/>
            </w:pPr>
            <w:r>
              <w:rPr>
                <w:spacing w:val="-3"/>
              </w:rPr>
              <w:t xml:space="preserve">发现</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7"/>
              </w:rPr>
              <w:t xml:space="preserve"> </w:t>
            </w:r>
            <w:r>
              <w:rPr>
                <w:spacing w:val="-3"/>
              </w:rPr>
              <w:t xml:space="preserve">处扣</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1"/>
              </w:rPr>
              <w:t xml:space="preserve"> </w:t>
            </w:r>
            <w:r>
              <w:rPr>
                <w:spacing w:val="-3"/>
              </w:rPr>
              <w:t xml:space="preserve">分</w:t>
            </w:r>
            <w:r/>
          </w:p>
        </w:tc>
      </w:tr>
      <w:tr>
        <w:trPr>
          <w:trHeight w:val="68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2" w:lineRule="auto"/>
              <w:rPr>
                <w:rFonts w:ascii="Arial" w:hAnsi="Calibri"/>
                <w:sz w:val="21"/>
              </w:rPr>
            </w:pPr>
            <w:r>
              <w:rPr>
                <w:rFonts w:ascii="Arial" w:hAnsi="Calibri"/>
                <w:sz w:val="21"/>
              </w:rPr>
            </w:r>
            <w:r/>
          </w:p>
          <w:p>
            <w:pPr>
              <w:ind w:left="280"/>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21</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4" w:right="106" w:firstLine="2"/>
              <w:spacing w:before="101" w:line="278" w:lineRule="auto"/>
            </w:pPr>
            <w:r>
              <w:rPr>
                <w:spacing w:val="5"/>
              </w:rPr>
              <w:t xml:space="preserve">残垣断壁、失管破败房屋全面清</w:t>
            </w:r>
            <w:r>
              <w:rPr>
                <w:spacing w:val="7"/>
              </w:rPr>
              <w:t xml:space="preserve"> </w:t>
            </w:r>
            <w:r>
              <w:t xml:space="preserve">理</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1"/>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W w:w="3248" w:type="dxa"/>
            <w:vAlign w:val="top"/>
            <w:textDirection w:val="lrTb"/>
            <w:noWrap w:val="false"/>
          </w:tcPr>
          <w:p>
            <w:pPr>
              <w:pStyle w:val="1105"/>
              <w:ind w:left="114"/>
              <w:spacing w:before="272" w:line="228" w:lineRule="auto"/>
            </w:pPr>
            <w:r>
              <w:rPr>
                <w:spacing w:val="-3"/>
              </w:rPr>
              <w:t xml:space="preserve">发现</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7"/>
              </w:rPr>
              <w:t xml:space="preserve"> </w:t>
            </w:r>
            <w:r>
              <w:rPr>
                <w:spacing w:val="-3"/>
              </w:rPr>
              <w:t xml:space="preserve">处扣</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1"/>
              </w:rPr>
              <w:t xml:space="preserve"> </w:t>
            </w:r>
            <w:r>
              <w:rPr>
                <w:spacing w:val="-3"/>
              </w:rPr>
              <w:t xml:space="preserve">分</w:t>
            </w:r>
            <w:r/>
          </w:p>
        </w:tc>
      </w:tr>
      <w:tr>
        <w:trPr>
          <w:trHeight w:val="412"/>
        </w:trPr>
        <w:tc>
          <w:tcPr>
            <w:tcBorders>
              <w:top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80"/>
              <w:spacing w:before="171"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22</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1"/>
              <w:spacing w:before="134" w:line="226" w:lineRule="auto"/>
            </w:pPr>
            <w:r>
              <w:rPr>
                <w:spacing w:val="9"/>
              </w:rPr>
              <w:t xml:space="preserve">村庄内电线电缆得到有序整理</w:t>
            </w:r>
            <w:r/>
          </w:p>
        </w:tc>
        <w:tc>
          <w:tcPr>
            <w:tcW w:w="583" w:type="dxa"/>
            <w:vAlign w:val="top"/>
            <w:textDirection w:val="lrTb"/>
            <w:noWrap w:val="false"/>
          </w:tcPr>
          <w:p>
            <w:pPr>
              <w:ind w:left="246"/>
              <w:spacing w:before="171"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134" w:line="227" w:lineRule="auto"/>
            </w:pPr>
            <w:r>
              <w:rPr>
                <w:spacing w:val="4"/>
              </w:rPr>
              <w:t xml:space="preserve">未有序整理或藤曼缠绕</w:t>
            </w:r>
            <w:r>
              <w:rPr>
                <w:spacing w:val="-16"/>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7"/>
              </w:rPr>
              <w:t xml:space="preserve"> </w:t>
            </w:r>
            <w:r>
              <w:rPr>
                <w:spacing w:val="4"/>
              </w:rPr>
              <w:t xml:space="preserve">处扣</w:t>
            </w:r>
            <w:r>
              <w:rPr>
                <w:spacing w:val="-19"/>
              </w:rPr>
              <w:t xml:space="preserve"> </w:t>
            </w:r>
            <w:r>
              <w:rPr>
                <w:rFonts w:ascii="Times New Roman" w:hAnsi="Times New Roman" w:eastAsia="Times New Roman" w:cs="Times New Roman"/>
                <w:spacing w:val="4"/>
              </w:rPr>
              <w:t xml:space="preserve">1 </w:t>
            </w:r>
            <w:r>
              <w:rPr>
                <w:spacing w:val="4"/>
              </w:rPr>
              <w:t xml:space="preserve">分</w:t>
            </w:r>
            <w:r/>
          </w:p>
        </w:tc>
      </w:tr>
      <w:tr>
        <w:trPr>
          <w:trHeight w:val="683"/>
        </w:trPr>
        <w:tc>
          <w:tcPr>
            <w:tcBorders>
              <w:bottom w:val="none" w:color="000000" w:sz="4" w:space="0"/>
            </w:tcBorders>
            <w:tcW w:w="1128" w:type="dxa"/>
            <w:vAlign w:val="top"/>
            <w:vMerge w:val="restart"/>
            <w:textDirection w:val="lrTb"/>
            <w:noWrap w:val="false"/>
          </w:tcPr>
          <w:p>
            <w:pPr>
              <w:spacing w:line="263" w:lineRule="auto"/>
              <w:rPr>
                <w:rFonts w:ascii="Arial" w:hAnsi="Calibri"/>
                <w:sz w:val="21"/>
              </w:rPr>
            </w:pPr>
            <w:r>
              <w:rPr>
                <w:rFonts w:ascii="Arial" w:hAnsi="Calibri"/>
                <w:sz w:val="21"/>
              </w:rPr>
            </w:r>
            <w:r/>
          </w:p>
          <w:p>
            <w:pPr>
              <w:spacing w:line="263" w:lineRule="auto"/>
              <w:rPr>
                <w:rFonts w:ascii="Arial" w:hAnsi="Calibri"/>
                <w:sz w:val="21"/>
              </w:rPr>
            </w:pPr>
            <w:r>
              <w:rPr>
                <w:rFonts w:ascii="Arial" w:hAnsi="Calibri"/>
                <w:sz w:val="21"/>
              </w:rPr>
            </w:r>
            <w:r/>
          </w:p>
          <w:p>
            <w:pPr>
              <w:spacing w:line="263" w:lineRule="auto"/>
              <w:rPr>
                <w:rFonts w:ascii="Arial" w:hAnsi="Calibri"/>
                <w:sz w:val="21"/>
              </w:rPr>
            </w:pPr>
            <w:r>
              <w:rPr>
                <w:rFonts w:ascii="Arial" w:hAnsi="Calibri"/>
                <w:sz w:val="21"/>
              </w:rPr>
            </w:r>
            <w:r/>
          </w:p>
          <w:p>
            <w:pPr>
              <w:spacing w:line="263" w:lineRule="auto"/>
              <w:rPr>
                <w:rFonts w:ascii="Arial" w:hAnsi="Calibri"/>
                <w:sz w:val="21"/>
              </w:rPr>
            </w:pPr>
            <w:r>
              <w:rPr>
                <w:rFonts w:ascii="Arial" w:hAnsi="Calibri"/>
                <w:sz w:val="21"/>
              </w:rPr>
            </w:r>
            <w:r/>
          </w:p>
          <w:p>
            <w:pPr>
              <w:spacing w:line="264" w:lineRule="auto"/>
              <w:rPr>
                <w:rFonts w:ascii="Arial" w:hAnsi="Calibri"/>
                <w:sz w:val="21"/>
              </w:rPr>
            </w:pPr>
            <w:r>
              <w:rPr>
                <w:rFonts w:ascii="Arial" w:hAnsi="Calibri"/>
                <w:sz w:val="21"/>
              </w:rPr>
            </w:r>
            <w:r/>
          </w:p>
          <w:p>
            <w:pPr>
              <w:spacing w:line="264" w:lineRule="auto"/>
              <w:rPr>
                <w:rFonts w:ascii="Arial" w:hAnsi="Calibri"/>
                <w:sz w:val="21"/>
              </w:rPr>
            </w:pPr>
            <w:r>
              <w:rPr>
                <w:rFonts w:ascii="Arial" w:hAnsi="Calibri"/>
                <w:sz w:val="21"/>
              </w:rPr>
            </w:r>
            <w:r/>
          </w:p>
          <w:p>
            <w:pPr>
              <w:pStyle w:val="1105"/>
              <w:ind w:left="118" w:right="110" w:firstLine="11"/>
              <w:spacing w:before="62" w:line="314" w:lineRule="auto"/>
            </w:pPr>
            <w:r>
              <w:rPr>
                <w:b/>
                <w:bCs/>
                <w:spacing w:val="-16"/>
              </w:rPr>
              <w:t xml:space="preserve">三、管护水</w:t>
            </w:r>
            <w:r>
              <w:t xml:space="preserve"> </w:t>
            </w:r>
            <w:r>
              <w:rPr>
                <w:b/>
                <w:bCs/>
                <w:spacing w:val="-2"/>
              </w:rPr>
              <w:t xml:space="preserve">平</w:t>
            </w:r>
            <w:r/>
          </w:p>
        </w:tc>
        <w:tc>
          <w:tcPr>
            <w:tcW w:w="763" w:type="dxa"/>
            <w:vAlign w:val="top"/>
            <w:textDirection w:val="lrTb"/>
            <w:noWrap w:val="false"/>
          </w:tcPr>
          <w:p>
            <w:pPr>
              <w:spacing w:line="252"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23</w:t>
            </w:r>
            <w:r/>
          </w:p>
        </w:tc>
        <w:tc>
          <w:tcPr>
            <w:tcBorders>
              <w:bottom w:val="none" w:color="000000" w:sz="4" w:space="0"/>
            </w:tcBorders>
            <w:tcW w:w="1277" w:type="dxa"/>
            <w:vAlign w:val="top"/>
            <w:vMerge w:val="restart"/>
            <w:textDirection w:val="lrTb"/>
            <w:noWrap w:val="false"/>
          </w:tcPr>
          <w:p>
            <w:pPr>
              <w:spacing w:line="278" w:lineRule="auto"/>
              <w:rPr>
                <w:rFonts w:ascii="Arial" w:hAnsi="Calibri"/>
                <w:sz w:val="21"/>
              </w:rPr>
            </w:pPr>
            <w:r>
              <w:rPr>
                <w:rFonts w:ascii="Arial" w:hAnsi="Calibri"/>
                <w:sz w:val="21"/>
              </w:rPr>
            </w:r>
            <w:r/>
          </w:p>
          <w:p>
            <w:pPr>
              <w:spacing w:line="279" w:lineRule="auto"/>
              <w:rPr>
                <w:rFonts w:ascii="Arial" w:hAnsi="Calibri"/>
                <w:sz w:val="21"/>
              </w:rPr>
            </w:pPr>
            <w:r>
              <w:rPr>
                <w:rFonts w:ascii="Arial" w:hAnsi="Calibri"/>
                <w:sz w:val="21"/>
              </w:rPr>
            </w:r>
            <w:r/>
          </w:p>
          <w:p>
            <w:pPr>
              <w:pStyle w:val="1105"/>
              <w:ind w:left="122" w:right="116" w:firstLine="20"/>
              <w:spacing w:before="62" w:line="313" w:lineRule="auto"/>
            </w:pPr>
            <w:r>
              <w:rPr>
                <w:spacing w:val="8"/>
              </w:rPr>
              <w:t xml:space="preserve">长效管护机</w:t>
            </w:r>
            <w:r>
              <w:t xml:space="preserve"> </w:t>
            </w:r>
            <w:r>
              <w:rPr>
                <w:spacing w:val="-5"/>
              </w:rPr>
              <w:t xml:space="preserve">制（</w:t>
            </w:r>
            <w:r>
              <w:rPr>
                <w:spacing w:val="-42"/>
              </w:rPr>
              <w:t xml:space="preserve"> </w:t>
            </w:r>
            <w:r>
              <w:rPr>
                <w:rFonts w:ascii="Times New Roman" w:hAnsi="Times New Roman" w:eastAsia="Times New Roman" w:cs="Times New Roman"/>
                <w:spacing w:val="-5"/>
              </w:rPr>
              <w:t xml:space="preserve">10</w:t>
            </w:r>
            <w:r>
              <w:rPr>
                <w:rFonts w:ascii="Times New Roman" w:hAnsi="Times New Roman" w:eastAsia="Times New Roman" w:cs="Times New Roman"/>
                <w:spacing w:val="11"/>
              </w:rPr>
              <w:t xml:space="preserve"> </w:t>
            </w:r>
            <w:r>
              <w:rPr>
                <w:spacing w:val="-5"/>
              </w:rPr>
              <w:t xml:space="preserve">分）</w:t>
            </w:r>
            <w:r/>
          </w:p>
        </w:tc>
        <w:tc>
          <w:tcPr>
            <w:tcW w:w="2967" w:type="dxa"/>
            <w:vAlign w:val="top"/>
            <w:textDirection w:val="lrTb"/>
            <w:noWrap w:val="false"/>
          </w:tcPr>
          <w:p>
            <w:pPr>
              <w:pStyle w:val="1105"/>
              <w:ind w:left="110" w:right="106"/>
              <w:spacing w:before="100" w:line="278" w:lineRule="auto"/>
            </w:pPr>
            <w:r>
              <w:rPr>
                <w:spacing w:val="6"/>
              </w:rPr>
              <w:t xml:space="preserve">建有完善的长效管护制度，并能</w:t>
            </w:r>
            <w:r>
              <w:t xml:space="preserve"> </w:t>
            </w:r>
            <w:r>
              <w:rPr>
                <w:spacing w:val="8"/>
              </w:rPr>
              <w:t xml:space="preserve">够有效落实</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1"/>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W w:w="3248" w:type="dxa"/>
            <w:vAlign w:val="top"/>
            <w:textDirection w:val="lrTb"/>
            <w:noWrap w:val="false"/>
          </w:tcPr>
          <w:p>
            <w:pPr>
              <w:pStyle w:val="1105"/>
              <w:ind w:left="115" w:right="185" w:firstLine="3"/>
              <w:spacing w:before="100" w:line="278" w:lineRule="auto"/>
            </w:pPr>
            <w:r>
              <w:rPr>
                <w:spacing w:val="7"/>
              </w:rPr>
              <w:t xml:space="preserve">有制度未落实扣</w:t>
            </w:r>
            <w:r>
              <w:rPr>
                <w:spacing w:val="-31"/>
              </w:rPr>
              <w:t xml:space="preserve"> </w:t>
            </w:r>
            <w:r>
              <w:rPr>
                <w:rFonts w:ascii="Times New Roman" w:hAnsi="Times New Roman" w:eastAsia="Times New Roman" w:cs="Times New Roman"/>
                <w:spacing w:val="7"/>
              </w:rPr>
              <w:t xml:space="preserve">2 </w:t>
            </w:r>
            <w:r>
              <w:rPr>
                <w:spacing w:val="7"/>
              </w:rPr>
              <w:t xml:space="preserve">分；无制度扣</w:t>
            </w:r>
            <w:r>
              <w:rPr>
                <w:spacing w:val="-41"/>
              </w:rPr>
              <w:t xml:space="preserve"> </w:t>
            </w:r>
            <w:r>
              <w:rPr>
                <w:rFonts w:ascii="Times New Roman" w:hAnsi="Times New Roman" w:eastAsia="Times New Roman" w:cs="Times New Roman"/>
                <w:spacing w:val="7"/>
              </w:rPr>
              <w:t xml:space="preserve">4</w:t>
            </w:r>
            <w:r>
              <w:rPr>
                <w:rFonts w:ascii="Times New Roman" w:hAnsi="Times New Roman" w:eastAsia="Times New Roman" w:cs="Times New Roman"/>
              </w:rPr>
              <w:t xml:space="preserve"> </w:t>
            </w:r>
            <w:r>
              <w:t xml:space="preserve">分</w:t>
            </w:r>
            <w:r/>
          </w:p>
        </w:tc>
      </w:tr>
      <w:tr>
        <w:trPr>
          <w:trHeight w:val="34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80"/>
              <w:spacing w:before="139"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24</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20"/>
              <w:spacing w:before="103" w:line="224" w:lineRule="auto"/>
            </w:pPr>
            <w:r>
              <w:rPr>
                <w:spacing w:val="8"/>
              </w:rPr>
              <w:t xml:space="preserve">配备有稳定的村级管护队伍</w:t>
            </w:r>
            <w:r/>
          </w:p>
        </w:tc>
        <w:tc>
          <w:tcPr>
            <w:tcW w:w="583" w:type="dxa"/>
            <w:vAlign w:val="top"/>
            <w:textDirection w:val="lrTb"/>
            <w:noWrap w:val="false"/>
          </w:tcPr>
          <w:p>
            <w:pPr>
              <w:ind w:left="246"/>
              <w:spacing w:before="139"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20"/>
              <w:spacing w:before="102" w:line="227" w:lineRule="auto"/>
            </w:pPr>
            <w:r>
              <w:rPr>
                <w:spacing w:val="6"/>
              </w:rPr>
              <w:t xml:space="preserve">无管护队伍扣</w:t>
            </w:r>
            <w:r>
              <w:rPr>
                <w:spacing w:val="-35"/>
              </w:rPr>
              <w:t xml:space="preserve"> </w:t>
            </w:r>
            <w:r>
              <w:rPr>
                <w:rFonts w:ascii="Times New Roman" w:hAnsi="Times New Roman" w:eastAsia="Times New Roman" w:cs="Times New Roman"/>
                <w:spacing w:val="6"/>
              </w:rPr>
              <w:t xml:space="preserve">3 </w:t>
            </w:r>
            <w:r>
              <w:rPr>
                <w:spacing w:val="6"/>
              </w:rPr>
              <w:t xml:space="preserve">分</w:t>
            </w:r>
            <w:r/>
          </w:p>
        </w:tc>
      </w:tr>
      <w:tr>
        <w:trPr>
          <w:trHeight w:val="68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2"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25</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2" w:right="259" w:firstLine="10"/>
              <w:spacing w:before="101" w:line="279" w:lineRule="auto"/>
            </w:pPr>
            <w:r>
              <w:rPr>
                <w:spacing w:val="8"/>
              </w:rPr>
              <w:t xml:space="preserve">落实工程正常运转和村保洁的</w:t>
            </w:r>
            <w:r>
              <w:rPr>
                <w:spacing w:val="4"/>
              </w:rPr>
              <w:t xml:space="preserve"> </w:t>
            </w:r>
            <w:r>
              <w:rPr>
                <w:spacing w:val="7"/>
              </w:rPr>
              <w:t xml:space="preserve">管护经费</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272" w:line="227" w:lineRule="auto"/>
            </w:pPr>
            <w:r>
              <w:rPr>
                <w:spacing w:val="6"/>
              </w:rPr>
              <w:t xml:space="preserve">未落实经费扣</w:t>
            </w:r>
            <w:r>
              <w:rPr>
                <w:spacing w:val="-29"/>
              </w:rPr>
              <w:t xml:space="preserve"> </w:t>
            </w:r>
            <w:r>
              <w:rPr>
                <w:rFonts w:ascii="Times New Roman" w:hAnsi="Times New Roman" w:eastAsia="Times New Roman" w:cs="Times New Roman"/>
                <w:spacing w:val="6"/>
              </w:rPr>
              <w:t xml:space="preserve">3 </w:t>
            </w:r>
            <w:r>
              <w:rPr>
                <w:spacing w:val="6"/>
              </w:rPr>
              <w:t xml:space="preserve">分</w:t>
            </w:r>
            <w:r/>
          </w:p>
        </w:tc>
      </w:tr>
      <w:tr>
        <w:trPr>
          <w:trHeight w:val="1362"/>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94" w:lineRule="auto"/>
              <w:rPr>
                <w:rFonts w:ascii="Arial" w:hAnsi="Calibri"/>
                <w:sz w:val="21"/>
              </w:rPr>
            </w:pPr>
            <w:r>
              <w:rPr>
                <w:rFonts w:ascii="Arial" w:hAnsi="Calibri"/>
                <w:sz w:val="21"/>
              </w:rPr>
            </w:r>
            <w:r/>
          </w:p>
          <w:p>
            <w:pPr>
              <w:spacing w:line="295"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26</w:t>
            </w:r>
            <w:r/>
          </w:p>
        </w:tc>
        <w:tc>
          <w:tcPr>
            <w:tcBorders>
              <w:bottom w:val="none" w:color="000000" w:sz="4" w:space="0"/>
            </w:tcBorders>
            <w:tcW w:w="1277" w:type="dxa"/>
            <w:vAlign w:val="top"/>
            <w:vMerge w:val="restart"/>
            <w:textDirection w:val="lrTb"/>
            <w:noWrap w:val="false"/>
          </w:tcPr>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pStyle w:val="1105"/>
              <w:ind w:left="165" w:right="139" w:hanging="24"/>
              <w:spacing w:before="62" w:line="316" w:lineRule="auto"/>
            </w:pPr>
            <w:r>
              <w:rPr>
                <w:spacing w:val="8"/>
              </w:rPr>
              <w:t xml:space="preserve">农民主体作</w:t>
            </w:r>
            <w:r>
              <w:t xml:space="preserve"> </w:t>
            </w:r>
            <w:r>
              <w:rPr>
                <w:spacing w:val="16"/>
              </w:rPr>
              <w:t xml:space="preserve">用（</w:t>
            </w:r>
            <w:r>
              <w:rPr>
                <w:rFonts w:ascii="Times New Roman" w:hAnsi="Times New Roman" w:eastAsia="Times New Roman" w:cs="Times New Roman"/>
                <w:spacing w:val="16"/>
              </w:rPr>
              <w:t xml:space="preserve">6</w:t>
            </w:r>
            <w:r>
              <w:rPr>
                <w:spacing w:val="16"/>
              </w:rPr>
              <w:t xml:space="preserve">分）</w:t>
            </w:r>
            <w:r/>
          </w:p>
        </w:tc>
        <w:tc>
          <w:tcPr>
            <w:tcW w:w="2967" w:type="dxa"/>
            <w:vAlign w:val="top"/>
            <w:textDirection w:val="lrTb"/>
            <w:noWrap w:val="false"/>
          </w:tcPr>
          <w:p>
            <w:pPr>
              <w:pStyle w:val="1105"/>
              <w:ind w:left="112" w:right="105"/>
              <w:spacing w:before="100" w:line="304" w:lineRule="auto"/>
            </w:pPr>
            <w:r>
              <w:rPr>
                <w:spacing w:val="5"/>
              </w:rPr>
              <w:t xml:space="preserve">运用环境积分制、农民参与监督</w:t>
            </w:r>
            <w:r>
              <w:rPr>
                <w:spacing w:val="12"/>
              </w:rPr>
              <w:t xml:space="preserve"> </w:t>
            </w:r>
            <w:r>
              <w:rPr>
                <w:spacing w:val="11"/>
              </w:rPr>
              <w:t xml:space="preserve">(</w:t>
            </w:r>
            <w:r>
              <w:rPr>
                <w:rFonts w:ascii="Times New Roman" w:hAnsi="Times New Roman" w:eastAsia="Times New Roman" w:cs="Times New Roman"/>
                <w:spacing w:val="11"/>
              </w:rPr>
              <w:t xml:space="preserve">ℼ</w:t>
            </w:r>
            <w:r>
              <w:rPr>
                <w:spacing w:val="11"/>
              </w:rPr>
              <w:t xml:space="preserve">随手拍</w:t>
            </w:r>
            <w:r>
              <w:rPr>
                <w:rFonts w:ascii="Times New Roman" w:hAnsi="Times New Roman" w:eastAsia="Times New Roman" w:cs="Times New Roman"/>
                <w:spacing w:val="11"/>
              </w:rPr>
              <w:t xml:space="preserve">”</w:t>
            </w:r>
            <w:r>
              <w:rPr>
                <w:spacing w:val="11"/>
              </w:rPr>
              <w:t xml:space="preserve">应用等）、组建稳定</w:t>
            </w:r>
            <w:r>
              <w:rPr>
                <w:spacing w:val="13"/>
              </w:rPr>
              <w:t xml:space="preserve"> </w:t>
            </w:r>
            <w:r>
              <w:rPr>
                <w:spacing w:val="9"/>
              </w:rPr>
              <w:t xml:space="preserve">志愿服务队伍等多种形式提高</w:t>
            </w:r>
            <w:r>
              <w:t xml:space="preserve">  </w:t>
            </w:r>
            <w:r>
              <w:rPr>
                <w:spacing w:val="8"/>
              </w:rPr>
              <w:t xml:space="preserve">农民参与积极性</w:t>
            </w:r>
            <w:r/>
          </w:p>
        </w:tc>
        <w:tc>
          <w:tcPr>
            <w:tcW w:w="583" w:type="dxa"/>
            <w:vAlign w:val="top"/>
            <w:textDirection w:val="lrTb"/>
            <w:noWrap w:val="false"/>
          </w:tcPr>
          <w:p>
            <w:pPr>
              <w:spacing w:line="294" w:lineRule="auto"/>
              <w:rPr>
                <w:rFonts w:ascii="Arial" w:hAnsi="Calibri"/>
                <w:sz w:val="21"/>
              </w:rPr>
            </w:pPr>
            <w:r>
              <w:rPr>
                <w:rFonts w:ascii="Arial" w:hAnsi="Calibri"/>
                <w:sz w:val="21"/>
              </w:rPr>
            </w:r>
            <w:r/>
          </w:p>
          <w:p>
            <w:pPr>
              <w:spacing w:line="295"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spacing w:line="377" w:lineRule="auto"/>
              <w:rPr>
                <w:rFonts w:ascii="Arial" w:hAnsi="Calibri"/>
                <w:sz w:val="21"/>
              </w:rPr>
            </w:pPr>
            <w:r>
              <w:rPr>
                <w:rFonts w:ascii="Arial" w:hAnsi="Calibri"/>
                <w:sz w:val="21"/>
              </w:rPr>
            </w:r>
            <w:r/>
          </w:p>
          <w:p>
            <w:pPr>
              <w:pStyle w:val="1105"/>
              <w:ind w:left="114" w:right="218" w:hanging="3"/>
              <w:spacing w:before="62" w:line="316" w:lineRule="auto"/>
            </w:pPr>
            <w:r>
              <w:rPr>
                <w:spacing w:val="6"/>
              </w:rPr>
              <w:t xml:space="preserve">根据推广情况和成效酌情给与</w:t>
            </w:r>
            <w:r>
              <w:rPr>
                <w:spacing w:val="-3"/>
              </w:rPr>
              <w:t xml:space="preserve"> </w:t>
            </w:r>
            <w:r>
              <w:rPr>
                <w:rFonts w:ascii="Times New Roman" w:hAnsi="Times New Roman" w:eastAsia="Times New Roman" w:cs="Times New Roman"/>
                <w:spacing w:val="6"/>
              </w:rPr>
              <w:t xml:space="preserve">1-3</w:t>
            </w:r>
            <w:r>
              <w:rPr>
                <w:rFonts w:ascii="Times New Roman" w:hAnsi="Times New Roman" w:eastAsia="Times New Roman" w:cs="Times New Roman"/>
              </w:rPr>
              <w:t xml:space="preserve"> </w:t>
            </w:r>
            <w:r>
              <w:t xml:space="preserve">分</w:t>
            </w:r>
            <w:r/>
          </w:p>
        </w:tc>
      </w:tr>
      <w:tr>
        <w:trPr>
          <w:trHeight w:val="686"/>
        </w:trPr>
        <w:tc>
          <w:tcPr>
            <w:tcBorders>
              <w:top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4" w:lineRule="auto"/>
              <w:rPr>
                <w:rFonts w:ascii="Arial" w:hAnsi="Calibri"/>
                <w:sz w:val="21"/>
              </w:rPr>
            </w:pPr>
            <w:r>
              <w:rPr>
                <w:rFonts w:ascii="Arial" w:hAnsi="Calibri"/>
                <w:sz w:val="21"/>
              </w:rPr>
            </w:r>
            <w:r/>
          </w:p>
          <w:p>
            <w:pPr>
              <w:ind w:left="280"/>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27</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20" w:right="106" w:hanging="10"/>
              <w:spacing w:before="105" w:line="277" w:lineRule="auto"/>
            </w:pPr>
            <w:r>
              <w:rPr>
                <w:spacing w:val="6"/>
              </w:rPr>
              <w:t xml:space="preserve">建立完善村规民约，明确村民维</w:t>
            </w:r>
            <w:r>
              <w:t xml:space="preserve"> </w:t>
            </w:r>
            <w:r>
              <w:rPr>
                <w:spacing w:val="8"/>
              </w:rPr>
              <w:t xml:space="preserve">护村庄环境的责任和义务</w:t>
            </w:r>
            <w:r/>
          </w:p>
        </w:tc>
        <w:tc>
          <w:tcPr>
            <w:tcW w:w="583" w:type="dxa"/>
            <w:vAlign w:val="top"/>
            <w:textDirection w:val="lrTb"/>
            <w:noWrap w:val="false"/>
          </w:tcPr>
          <w:p>
            <w:pPr>
              <w:spacing w:line="254" w:lineRule="auto"/>
              <w:rPr>
                <w:rFonts w:ascii="Arial" w:hAnsi="Calibri"/>
                <w:sz w:val="21"/>
              </w:rPr>
            </w:pPr>
            <w:r>
              <w:rPr>
                <w:rFonts w:ascii="Arial" w:hAnsi="Calibri"/>
                <w:sz w:val="21"/>
              </w:rPr>
            </w:r>
            <w:r/>
          </w:p>
          <w:p>
            <w:pPr>
              <w:ind w:left="246"/>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8" w:right="137" w:firstLine="2"/>
              <w:spacing w:before="105" w:line="277" w:lineRule="auto"/>
            </w:pPr>
            <w:r>
              <w:rPr>
                <w:spacing w:val="9"/>
              </w:rPr>
              <w:t xml:space="preserve">无村规民约或未明确村民责任和义</w:t>
            </w:r>
            <w:r>
              <w:t xml:space="preserve"> </w:t>
            </w:r>
            <w:r>
              <w:rPr>
                <w:spacing w:val="1"/>
              </w:rPr>
              <w:t xml:space="preserve">务扣</w:t>
            </w:r>
            <w:r>
              <w:rPr>
                <w:spacing w:val="-36"/>
              </w:rPr>
              <w:t xml:space="preserve"> </w:t>
            </w:r>
            <w:r>
              <w:rPr>
                <w:rFonts w:ascii="Times New Roman" w:hAnsi="Times New Roman" w:eastAsia="Times New Roman" w:cs="Times New Roman"/>
                <w:spacing w:val="1"/>
              </w:rPr>
              <w:t xml:space="preserve">3</w:t>
            </w:r>
            <w:r>
              <w:rPr>
                <w:rFonts w:ascii="Times New Roman" w:hAnsi="Times New Roman" w:eastAsia="Times New Roman" w:cs="Times New Roman"/>
                <w:spacing w:val="11"/>
              </w:rPr>
              <w:t xml:space="preserve"> </w:t>
            </w:r>
            <w:r>
              <w:rPr>
                <w:spacing w:val="1"/>
              </w:rPr>
              <w:t xml:space="preserve">分</w:t>
            </w:r>
            <w:r/>
          </w:p>
        </w:tc>
      </w:tr>
      <w:tr>
        <w:trPr>
          <w:trHeight w:val="684"/>
        </w:trPr>
        <w:tc>
          <w:tcPr>
            <w:tcW w:w="1128" w:type="dxa"/>
            <w:vAlign w:val="top"/>
            <w:textDirection w:val="lrTb"/>
            <w:noWrap w:val="false"/>
          </w:tcPr>
          <w:p>
            <w:pPr>
              <w:pStyle w:val="1105"/>
              <w:ind w:left="115" w:right="110" w:firstLine="23"/>
              <w:spacing w:before="103" w:line="277" w:lineRule="auto"/>
            </w:pPr>
            <w:r>
              <w:rPr>
                <w:b/>
                <w:bCs/>
                <w:spacing w:val="-18"/>
              </w:rPr>
              <w:t xml:space="preserve">四、满意度</w:t>
            </w:r>
            <w:r>
              <w:rPr>
                <w:spacing w:val="2"/>
              </w:rPr>
              <w:t xml:space="preserve"> </w:t>
            </w:r>
            <w:r>
              <w:rPr>
                <w:b/>
                <w:bCs/>
                <w:spacing w:val="4"/>
              </w:rPr>
              <w:t xml:space="preserve">调查</w:t>
            </w:r>
            <w:r/>
          </w:p>
        </w:tc>
        <w:tc>
          <w:tcPr>
            <w:tcW w:w="763" w:type="dxa"/>
            <w:vAlign w:val="top"/>
            <w:textDirection w:val="lrTb"/>
            <w:noWrap w:val="false"/>
          </w:tcPr>
          <w:p>
            <w:pPr>
              <w:spacing w:line="254"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28</w:t>
            </w:r>
            <w:r/>
          </w:p>
        </w:tc>
        <w:tc>
          <w:tcPr>
            <w:tcW w:w="1277" w:type="dxa"/>
            <w:vAlign w:val="top"/>
            <w:textDirection w:val="lrTb"/>
            <w:noWrap w:val="false"/>
          </w:tcPr>
          <w:p>
            <w:pPr>
              <w:pStyle w:val="1105"/>
              <w:ind w:left="136"/>
              <w:spacing w:before="103" w:line="227" w:lineRule="auto"/>
            </w:pPr>
            <w:r>
              <w:rPr>
                <w:spacing w:val="9"/>
              </w:rPr>
              <w:t xml:space="preserve">群众满意度</w:t>
            </w:r>
            <w:r/>
          </w:p>
          <w:p>
            <w:pPr>
              <w:pStyle w:val="1105"/>
              <w:ind w:left="261"/>
              <w:spacing w:before="108" w:line="222" w:lineRule="auto"/>
            </w:pPr>
            <w:r>
              <w:rPr>
                <w:spacing w:val="19"/>
              </w:rPr>
              <w:t xml:space="preserve">（</w:t>
            </w:r>
            <w:r>
              <w:rPr>
                <w:rFonts w:ascii="Times New Roman" w:hAnsi="Times New Roman" w:eastAsia="Times New Roman" w:cs="Times New Roman"/>
                <w:spacing w:val="19"/>
              </w:rPr>
              <w:t xml:space="preserve">5</w:t>
            </w:r>
            <w:r>
              <w:rPr>
                <w:spacing w:val="19"/>
              </w:rPr>
              <w:t xml:space="preserve">分）</w:t>
            </w:r>
            <w:r/>
          </w:p>
        </w:tc>
        <w:tc>
          <w:tcPr>
            <w:tcW w:w="2967" w:type="dxa"/>
            <w:vAlign w:val="top"/>
            <w:textDirection w:val="lrTb"/>
            <w:noWrap w:val="false"/>
          </w:tcPr>
          <w:p>
            <w:pPr>
              <w:pStyle w:val="1105"/>
              <w:ind w:left="123" w:right="259" w:hanging="12"/>
              <w:spacing w:before="103" w:line="277" w:lineRule="auto"/>
            </w:pPr>
            <w:r>
              <w:rPr>
                <w:spacing w:val="9"/>
              </w:rPr>
              <w:t xml:space="preserve">村民对农村人居环境整治的满</w:t>
            </w:r>
            <w:r>
              <w:rPr>
                <w:spacing w:val="2"/>
              </w:rPr>
              <w:t xml:space="preserve"> </w:t>
            </w:r>
            <w:r>
              <w:rPr>
                <w:spacing w:val="4"/>
              </w:rPr>
              <w:t xml:space="preserve">意度达</w:t>
            </w:r>
            <w:r>
              <w:rPr>
                <w:spacing w:val="-31"/>
              </w:rPr>
              <w:t xml:space="preserve"> </w:t>
            </w:r>
            <w:r>
              <w:rPr>
                <w:rFonts w:ascii="Times New Roman" w:hAnsi="Times New Roman" w:eastAsia="Times New Roman" w:cs="Times New Roman"/>
                <w:spacing w:val="4"/>
              </w:rPr>
              <w:t xml:space="preserve">90%</w:t>
            </w:r>
            <w:r>
              <w:rPr>
                <w:spacing w:val="4"/>
              </w:rPr>
              <w:t xml:space="preserve">以上</w:t>
            </w:r>
            <w:r/>
          </w:p>
        </w:tc>
        <w:tc>
          <w:tcPr>
            <w:tcW w:w="583" w:type="dxa"/>
            <w:vAlign w:val="top"/>
            <w:textDirection w:val="lrTb"/>
            <w:noWrap w:val="false"/>
          </w:tcPr>
          <w:p>
            <w:pPr>
              <w:spacing w:line="257" w:lineRule="auto"/>
              <w:rPr>
                <w:rFonts w:ascii="Arial" w:hAnsi="Calibri"/>
                <w:sz w:val="21"/>
              </w:rPr>
            </w:pPr>
            <w:r>
              <w:rPr>
                <w:rFonts w:ascii="Arial" w:hAnsi="Calibri"/>
                <w:sz w:val="21"/>
              </w:rPr>
            </w:r>
            <w:r/>
          </w:p>
          <w:p>
            <w:pPr>
              <w:ind w:left="247"/>
              <w:spacing w:before="54"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W w:w="3248" w:type="dxa"/>
            <w:vAlign w:val="top"/>
            <w:textDirection w:val="lrTb"/>
            <w:noWrap w:val="false"/>
          </w:tcPr>
          <w:p>
            <w:pPr>
              <w:pStyle w:val="1105"/>
              <w:ind w:left="122"/>
              <w:spacing w:before="274" w:line="227" w:lineRule="auto"/>
            </w:pPr>
            <w:r>
              <w:rPr>
                <w:spacing w:val="5"/>
              </w:rPr>
              <w:t xml:space="preserve">满意度未达到</w:t>
            </w:r>
            <w:r>
              <w:rPr>
                <w:spacing w:val="-30"/>
              </w:rPr>
              <w:t xml:space="preserve"> </w:t>
            </w:r>
            <w:r>
              <w:rPr>
                <w:rFonts w:ascii="Times New Roman" w:hAnsi="Times New Roman" w:eastAsia="Times New Roman" w:cs="Times New Roman"/>
                <w:spacing w:val="5"/>
              </w:rPr>
              <w:t xml:space="preserve">90%</w:t>
            </w:r>
            <w:r>
              <w:rPr>
                <w:spacing w:val="5"/>
              </w:rPr>
              <w:t xml:space="preserve">扣</w:t>
            </w:r>
            <w:r>
              <w:rPr>
                <w:spacing w:val="-35"/>
              </w:rPr>
              <w:t xml:space="preserve"> </w:t>
            </w:r>
            <w:r>
              <w:rPr>
                <w:rFonts w:ascii="Times New Roman" w:hAnsi="Times New Roman" w:eastAsia="Times New Roman" w:cs="Times New Roman"/>
                <w:spacing w:val="5"/>
              </w:rPr>
              <w:t xml:space="preserve">5 </w:t>
            </w:r>
            <w:r>
              <w:rPr>
                <w:spacing w:val="5"/>
              </w:rPr>
              <w:t xml:space="preserve">分</w:t>
            </w:r>
            <w:r/>
          </w:p>
        </w:tc>
      </w:tr>
      <w:tr>
        <w:trPr>
          <w:trHeight w:val="686"/>
        </w:trPr>
        <w:tc>
          <w:tcPr>
            <w:tcBorders>
              <w:bottom w:val="none" w:color="000000" w:sz="4" w:space="0"/>
            </w:tcBorders>
            <w:tcW w:w="1128" w:type="dxa"/>
            <w:vAlign w:val="top"/>
            <w:vMerge w:val="restart"/>
            <w:textDirection w:val="lrTb"/>
            <w:noWrap w:val="false"/>
          </w:tcPr>
          <w:p>
            <w:pPr>
              <w:spacing w:line="316" w:lineRule="auto"/>
              <w:rPr>
                <w:rFonts w:ascii="Arial" w:hAnsi="Calibri"/>
                <w:sz w:val="21"/>
              </w:rPr>
            </w:pPr>
            <w:r>
              <w:rPr>
                <w:rFonts w:ascii="Arial" w:hAnsi="Calibri"/>
                <w:sz w:val="21"/>
              </w:rPr>
            </w:r>
            <w:r/>
          </w:p>
          <w:p>
            <w:pPr>
              <w:spacing w:line="317" w:lineRule="auto"/>
              <w:rPr>
                <w:rFonts w:ascii="Arial" w:hAnsi="Calibri"/>
                <w:sz w:val="21"/>
              </w:rPr>
            </w:pPr>
            <w:r>
              <w:rPr>
                <w:rFonts w:ascii="Arial" w:hAnsi="Calibri"/>
                <w:sz w:val="21"/>
              </w:rPr>
            </w:r>
            <w:r/>
          </w:p>
          <w:p>
            <w:pPr>
              <w:pStyle w:val="1105"/>
              <w:ind w:left="122"/>
              <w:spacing w:before="62" w:line="226" w:lineRule="auto"/>
            </w:pPr>
            <w:r>
              <w:rPr>
                <w:b/>
                <w:bCs/>
                <w:spacing w:val="5"/>
              </w:rPr>
              <w:t xml:space="preserve">五、其他</w:t>
            </w:r>
            <w:r/>
          </w:p>
        </w:tc>
        <w:tc>
          <w:tcPr>
            <w:tcW w:w="763" w:type="dxa"/>
            <w:vAlign w:val="top"/>
            <w:textDirection w:val="lrTb"/>
            <w:noWrap w:val="false"/>
          </w:tcPr>
          <w:p>
            <w:pPr>
              <w:spacing w:line="254"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29</w:t>
            </w:r>
            <w:r/>
          </w:p>
        </w:tc>
        <w:tc>
          <w:tcPr>
            <w:tcBorders>
              <w:bottom w:val="none" w:color="000000" w:sz="4" w:space="0"/>
            </w:tcBorders>
            <w:tcW w:w="1277" w:type="dxa"/>
            <w:vAlign w:val="top"/>
            <w:vMerge w:val="restart"/>
            <w:textDirection w:val="lrTb"/>
            <w:noWrap w:val="false"/>
          </w:tcPr>
          <w:p>
            <w:pPr>
              <w:spacing w:line="316" w:lineRule="auto"/>
              <w:rPr>
                <w:rFonts w:ascii="Arial" w:hAnsi="Calibri"/>
                <w:sz w:val="21"/>
              </w:rPr>
            </w:pPr>
            <w:r>
              <w:rPr>
                <w:rFonts w:ascii="Arial" w:hAnsi="Calibri"/>
                <w:sz w:val="21"/>
              </w:rPr>
            </w:r>
            <w:r/>
          </w:p>
          <w:p>
            <w:pPr>
              <w:spacing w:line="317" w:lineRule="auto"/>
              <w:rPr>
                <w:rFonts w:ascii="Arial" w:hAnsi="Calibri"/>
                <w:sz w:val="21"/>
              </w:rPr>
            </w:pPr>
            <w:r>
              <w:rPr>
                <w:rFonts w:ascii="Arial" w:hAnsi="Calibri"/>
                <w:sz w:val="21"/>
              </w:rPr>
            </w:r>
            <w:r/>
          </w:p>
          <w:p>
            <w:pPr>
              <w:pStyle w:val="1105"/>
              <w:ind w:left="146"/>
              <w:spacing w:before="62" w:line="227" w:lineRule="auto"/>
            </w:pPr>
            <w:r>
              <w:rPr>
                <w:spacing w:val="7"/>
              </w:rPr>
              <w:t xml:space="preserve">扣分项指标</w:t>
            </w:r>
            <w:r/>
          </w:p>
        </w:tc>
        <w:tc>
          <w:tcPr>
            <w:tcW w:w="2967" w:type="dxa"/>
            <w:vAlign w:val="top"/>
            <w:textDirection w:val="lrTb"/>
            <w:noWrap w:val="false"/>
          </w:tcPr>
          <w:p>
            <w:pPr>
              <w:pStyle w:val="1105"/>
              <w:ind w:left="107" w:right="259" w:firstLine="10"/>
              <w:spacing w:before="105" w:line="277" w:lineRule="auto"/>
            </w:pPr>
            <w:r>
              <w:rPr>
                <w:spacing w:val="8"/>
              </w:rPr>
              <w:t xml:space="preserve">无村庄建设规划或农村人居环</w:t>
            </w:r>
            <w:r>
              <w:rPr>
                <w:spacing w:val="9"/>
              </w:rPr>
              <w:t xml:space="preserve"> 境整治方案</w:t>
            </w:r>
            <w:r/>
          </w:p>
        </w:tc>
        <w:tc>
          <w:tcPr>
            <w:tcW w:w="583" w:type="dxa"/>
            <w:vAlign w:val="top"/>
            <w:textDirection w:val="lrTb"/>
            <w:noWrap w:val="false"/>
          </w:tcPr>
          <w:p>
            <w:pPr>
              <w:rPr>
                <w:rFonts w:ascii="Arial" w:hAnsi="Calibri"/>
                <w:sz w:val="21"/>
              </w:rPr>
            </w:pPr>
            <w:r>
              <w:rPr>
                <w:rFonts w:ascii="Arial" w:hAnsi="Calibri"/>
                <w:sz w:val="21"/>
              </w:rPr>
            </w:r>
            <w:r/>
          </w:p>
        </w:tc>
        <w:tc>
          <w:tcPr>
            <w:tcW w:w="3248" w:type="dxa"/>
            <w:vAlign w:val="top"/>
            <w:textDirection w:val="lrTb"/>
            <w:noWrap w:val="false"/>
          </w:tcPr>
          <w:p>
            <w:pPr>
              <w:pStyle w:val="1105"/>
              <w:ind w:left="120"/>
              <w:spacing w:before="274" w:line="228" w:lineRule="auto"/>
            </w:pPr>
            <w:r>
              <w:rPr>
                <w:spacing w:val="-4"/>
              </w:rPr>
              <w:t xml:space="preserve">扣</w:t>
            </w:r>
            <w:r>
              <w:rPr>
                <w:spacing w:val="-32"/>
              </w:rPr>
              <w:t xml:space="preserve"> </w:t>
            </w:r>
            <w:r>
              <w:rPr>
                <w:rFonts w:ascii="Times New Roman" w:hAnsi="Times New Roman" w:eastAsia="Times New Roman" w:cs="Times New Roman"/>
                <w:spacing w:val="-4"/>
              </w:rPr>
              <w:t xml:space="preserve">5</w:t>
            </w:r>
            <w:r>
              <w:rPr>
                <w:rFonts w:ascii="Times New Roman" w:hAnsi="Times New Roman" w:eastAsia="Times New Roman" w:cs="Times New Roman"/>
                <w:spacing w:val="11"/>
              </w:rPr>
              <w:t xml:space="preserve"> </w:t>
            </w:r>
            <w:r>
              <w:rPr>
                <w:spacing w:val="-4"/>
              </w:rPr>
              <w:t xml:space="preserve">分</w:t>
            </w:r>
            <w:r/>
          </w:p>
        </w:tc>
      </w:tr>
      <w:tr>
        <w:trPr>
          <w:trHeight w:val="408"/>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84"/>
              <w:spacing w:before="171"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30</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1"/>
              <w:spacing w:before="135" w:line="226" w:lineRule="auto"/>
            </w:pPr>
            <w:r>
              <w:rPr>
                <w:spacing w:val="9"/>
              </w:rPr>
              <w:t xml:space="preserve">未全面消除黑臭水体</w:t>
            </w:r>
            <w:r/>
          </w:p>
        </w:tc>
        <w:tc>
          <w:tcPr>
            <w:tcW w:w="583" w:type="dxa"/>
            <w:vAlign w:val="top"/>
            <w:textDirection w:val="lrTb"/>
            <w:noWrap w:val="false"/>
          </w:tcPr>
          <w:p>
            <w:pPr>
              <w:rPr>
                <w:rFonts w:ascii="Arial" w:hAnsi="Calibri"/>
                <w:sz w:val="21"/>
              </w:rPr>
            </w:pPr>
            <w:r>
              <w:rPr>
                <w:rFonts w:ascii="Arial" w:hAnsi="Calibri"/>
                <w:sz w:val="21"/>
              </w:rPr>
            </w:r>
            <w:r/>
          </w:p>
        </w:tc>
        <w:tc>
          <w:tcPr>
            <w:tcW w:w="3248" w:type="dxa"/>
            <w:vAlign w:val="top"/>
            <w:textDirection w:val="lrTb"/>
            <w:noWrap w:val="false"/>
          </w:tcPr>
          <w:p>
            <w:pPr>
              <w:pStyle w:val="1105"/>
              <w:ind w:left="114"/>
              <w:spacing w:before="135" w:line="228" w:lineRule="auto"/>
            </w:pPr>
            <w:r>
              <w:rPr>
                <w:spacing w:val="6"/>
              </w:rPr>
              <w:t xml:space="preserve">发现一处扣</w:t>
            </w:r>
            <w:r>
              <w:rPr>
                <w:spacing w:val="-35"/>
              </w:rPr>
              <w:t xml:space="preserve"> </w:t>
            </w:r>
            <w:r>
              <w:rPr>
                <w:rFonts w:ascii="Times New Roman" w:hAnsi="Times New Roman" w:eastAsia="Times New Roman" w:cs="Times New Roman"/>
                <w:spacing w:val="6"/>
              </w:rPr>
              <w:t xml:space="preserve">5 </w:t>
            </w:r>
            <w:r>
              <w:rPr>
                <w:spacing w:val="6"/>
              </w:rPr>
              <w:t xml:space="preserve">分</w:t>
            </w:r>
            <w:r/>
          </w:p>
        </w:tc>
      </w:tr>
      <w:tr>
        <w:trPr>
          <w:trHeight w:val="429"/>
        </w:trPr>
        <w:tc>
          <w:tcPr>
            <w:tcBorders>
              <w:top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84"/>
              <w:spacing w:before="183"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31</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09"/>
              <w:spacing w:before="147" w:line="224" w:lineRule="auto"/>
            </w:pPr>
            <w:r>
              <w:rPr>
                <w:spacing w:val="9"/>
              </w:rPr>
              <w:t xml:space="preserve">存在旱厕和露天粪坑</w:t>
            </w:r>
            <w:r/>
          </w:p>
        </w:tc>
        <w:tc>
          <w:tcPr>
            <w:tcW w:w="583" w:type="dxa"/>
            <w:vAlign w:val="top"/>
            <w:textDirection w:val="lrTb"/>
            <w:noWrap w:val="false"/>
          </w:tcPr>
          <w:p>
            <w:pPr>
              <w:rPr>
                <w:rFonts w:ascii="Arial" w:hAnsi="Calibri"/>
                <w:sz w:val="21"/>
              </w:rPr>
            </w:pPr>
            <w:r>
              <w:rPr>
                <w:rFonts w:ascii="Arial" w:hAnsi="Calibri"/>
                <w:sz w:val="21"/>
              </w:rPr>
            </w:r>
            <w:r/>
          </w:p>
        </w:tc>
        <w:tc>
          <w:tcPr>
            <w:tcW w:w="3248" w:type="dxa"/>
            <w:vAlign w:val="top"/>
            <w:textDirection w:val="lrTb"/>
            <w:noWrap w:val="false"/>
          </w:tcPr>
          <w:p>
            <w:pPr>
              <w:pStyle w:val="1105"/>
              <w:ind w:left="114"/>
              <w:spacing w:before="147" w:line="228" w:lineRule="auto"/>
            </w:pPr>
            <w:r>
              <w:rPr>
                <w:spacing w:val="6"/>
              </w:rPr>
              <w:t xml:space="preserve">发现一处扣</w:t>
            </w:r>
            <w:r>
              <w:rPr>
                <w:spacing w:val="-35"/>
              </w:rPr>
              <w:t xml:space="preserve"> </w:t>
            </w:r>
            <w:r>
              <w:rPr>
                <w:rFonts w:ascii="Times New Roman" w:hAnsi="Times New Roman" w:eastAsia="Times New Roman" w:cs="Times New Roman"/>
                <w:spacing w:val="6"/>
              </w:rPr>
              <w:t xml:space="preserve">5 </w:t>
            </w:r>
            <w:r>
              <w:rPr>
                <w:spacing w:val="6"/>
              </w:rPr>
              <w:t xml:space="preserve">分</w:t>
            </w:r>
            <w:r/>
          </w:p>
        </w:tc>
      </w:tr>
    </w:tbl>
    <w:p>
      <w:pPr>
        <w:spacing w:before="41"/>
      </w:pPr>
      <w:r/>
      <w:r/>
    </w:p>
    <w:p>
      <w:pPr>
        <w:pStyle w:val="862"/>
        <w:ind w:right="2205"/>
        <w:jc w:val="center"/>
        <w:spacing w:before="206" w:line="279" w:lineRule="auto"/>
        <w:rPr>
          <w:rFonts w:hint="eastAsia" w:eastAsia="宋体"/>
          <w:sz w:val="32"/>
          <w:szCs w:val="32"/>
          <w:highlight w:val="yellow"/>
          <w:lang w:eastAsia="zh-CN"/>
        </w:rPr>
      </w:pPr>
      <w:r>
        <w:rPr>
          <w:rFonts w:hint="eastAsia" w:eastAsia="宋体"/>
          <w:sz w:val="32"/>
          <w:szCs w:val="32"/>
          <w:highlight w:val="yellow"/>
          <w:lang w:eastAsia="zh-CN"/>
        </w:rPr>
      </w:r>
      <w:r/>
    </w:p>
    <w:p>
      <w:pPr>
        <w:jc w:val="center"/>
        <w:spacing w:line="360" w:lineRule="auto"/>
        <w:rPr>
          <w:b/>
          <w:sz w:val="36"/>
          <w:szCs w:val="36"/>
          <w:highlight w:val="none"/>
        </w:rPr>
        <w:outlineLvl w:val="0"/>
      </w:pPr>
      <w:r>
        <w:rPr>
          <w:b/>
          <w:color w:val="auto"/>
          <w:sz w:val="36"/>
          <w:szCs w:val="36"/>
          <w:highlight w:val="none"/>
        </w:rPr>
        <w:br w:type="page" w:clear="all"/>
      </w:r>
      <w:bookmarkEnd w:id="815"/>
      <w:r/>
      <w:bookmarkStart w:id="816" w:name="_Toc99301426"/>
      <w:r>
        <w:rPr>
          <w:b/>
          <w:sz w:val="36"/>
          <w:szCs w:val="36"/>
          <w:highlight w:val="none"/>
        </w:rPr>
        <w:t xml:space="preserve">第七章   投标文件格式</w:t>
      </w:r>
      <w:bookmarkEnd w:id="816"/>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107"/>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108"/>
        <w:ind w:firstLine="480"/>
        <w:spacing w:line="460" w:lineRule="exact"/>
        <w:rPr>
          <w:highlight w:val="none"/>
        </w:rPr>
      </w:pPr>
      <w:r>
        <w:rPr>
          <w:highlight w:val="none"/>
        </w:rPr>
      </w:r>
      <w:r/>
    </w:p>
    <w:p>
      <w:pPr>
        <w:pStyle w:val="1108"/>
        <w:ind w:firstLine="480"/>
        <w:spacing w:line="460" w:lineRule="exact"/>
        <w:rPr>
          <w:highlight w:val="none"/>
        </w:rPr>
      </w:pPr>
      <w:r>
        <w:rPr>
          <w:rFonts w:hint="eastAsia"/>
          <w:highlight w:val="none"/>
        </w:rPr>
        <w:t xml:space="preserve">致：江苏溧投招标服务有限公司</w:t>
      </w:r>
      <w:r/>
    </w:p>
    <w:p>
      <w:pPr>
        <w:pStyle w:val="1108"/>
        <w:ind w:firstLine="960"/>
        <w:spacing w:line="460" w:lineRule="exact"/>
        <w:rPr>
          <w:highlight w:val="none"/>
          <w:u w:val="single"/>
        </w:rPr>
      </w:pPr>
      <w:r>
        <w:rPr>
          <w:rFonts w:hint="eastAsia"/>
          <w:highlight w:val="none"/>
          <w:u w:val="single"/>
        </w:rPr>
        <w:t xml:space="preserve">（采购人名称）</w:t>
      </w:r>
      <w:r/>
    </w:p>
    <w:p>
      <w:pPr>
        <w:pStyle w:val="1108"/>
        <w:ind w:firstLine="480"/>
        <w:spacing w:line="460" w:lineRule="exact"/>
        <w:rPr>
          <w:highlight w:val="none"/>
        </w:rPr>
      </w:pPr>
      <w:r>
        <w:rPr>
          <w:highlight w:val="none"/>
        </w:rPr>
      </w:r>
      <w:r/>
    </w:p>
    <w:p>
      <w:pPr>
        <w:pStyle w:val="1108"/>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08"/>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08"/>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08"/>
        <w:ind w:firstLine="480"/>
        <w:spacing w:line="460" w:lineRule="exact"/>
        <w:rPr>
          <w:highlight w:val="none"/>
        </w:rPr>
      </w:pPr>
      <w:r>
        <w:rPr>
          <w:rFonts w:hint="eastAsia"/>
          <w:highlight w:val="none"/>
        </w:rPr>
        <w:t xml:space="preserve">三、我单位依法进行纳税和社会保险申报并实际履行了义务。</w:t>
      </w:r>
      <w:r/>
    </w:p>
    <w:p>
      <w:pPr>
        <w:pStyle w:val="1108"/>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08"/>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08"/>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08"/>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08"/>
        <w:ind w:firstLine="480"/>
        <w:spacing w:line="460" w:lineRule="exact"/>
        <w:rPr>
          <w:highlight w:val="none"/>
        </w:rPr>
      </w:pPr>
      <w:r>
        <w:rPr>
          <w:rFonts w:hint="eastAsia"/>
          <w:highlight w:val="none"/>
        </w:rPr>
        <w:t xml:space="preserve">六、我单位具备法律、行政法规规定的其他条件。</w:t>
      </w:r>
      <w:r/>
    </w:p>
    <w:p>
      <w:pPr>
        <w:pStyle w:val="1108"/>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08"/>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08"/>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08"/>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08"/>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08"/>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08"/>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08"/>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08"/>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08"/>
        <w:ind w:firstLine="480"/>
        <w:spacing w:line="460" w:lineRule="exact"/>
        <w:rPr>
          <w:highlight w:val="none"/>
        </w:rPr>
      </w:pPr>
      <w:r>
        <w:rPr>
          <w:highlight w:val="none"/>
        </w:rPr>
      </w:r>
      <w:r/>
    </w:p>
    <w:p>
      <w:pPr>
        <w:pStyle w:val="1108"/>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08"/>
        <w:ind w:firstLine="480"/>
        <w:spacing w:line="460" w:lineRule="exact"/>
        <w:rPr>
          <w:highlight w:val="none"/>
        </w:rPr>
      </w:pPr>
      <w:r>
        <w:rPr>
          <w:highlight w:val="none"/>
        </w:rPr>
      </w:r>
      <w:r/>
    </w:p>
    <w:p>
      <w:pPr>
        <w:pStyle w:val="1108"/>
        <w:ind w:firstLine="480"/>
        <w:spacing w:line="460" w:lineRule="exact"/>
        <w:rPr>
          <w:highlight w:val="none"/>
        </w:rPr>
      </w:pPr>
      <w:r>
        <w:rPr>
          <w:highlight w:val="none"/>
        </w:rPr>
      </w:r>
      <w:r/>
    </w:p>
    <w:p>
      <w:pPr>
        <w:pStyle w:val="1108"/>
        <w:ind w:firstLine="480"/>
        <w:spacing w:line="460" w:lineRule="exact"/>
        <w:rPr>
          <w:highlight w:val="none"/>
        </w:rPr>
      </w:pPr>
      <w:r>
        <w:rPr>
          <w:rFonts w:hint="eastAsia"/>
          <w:highlight w:val="none"/>
        </w:rPr>
        <w:t xml:space="preserve">                                            投标人：（加盖公章）</w:t>
      </w:r>
      <w:r/>
    </w:p>
    <w:p>
      <w:pPr>
        <w:pStyle w:val="1108"/>
        <w:ind w:firstLine="480"/>
        <w:spacing w:line="460" w:lineRule="exact"/>
        <w:rPr>
          <w:highlight w:val="none"/>
        </w:rPr>
      </w:pPr>
      <w:r>
        <w:rPr>
          <w:rFonts w:hint="eastAsia"/>
          <w:highlight w:val="none"/>
        </w:rPr>
        <w:t xml:space="preserve">                                           法定代表人（或单位负责人）签字或盖章：</w:t>
      </w:r>
      <w:r/>
    </w:p>
    <w:p>
      <w:pPr>
        <w:pStyle w:val="1108"/>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erReference w:type="default" r:id="rId21"/>
          <w:footnotePr/>
          <w:endnotePr/>
          <w:type w:val="nextPage"/>
          <w:pgSz w:w="11907" w:h="16840" w:orient="portrait"/>
          <w:pgMar w:top="1418" w:right="1134" w:bottom="1418" w:left="1701" w:header="851" w:footer="851" w:gutter="0"/>
          <w:cols w:num="1" w:sep="0" w:space="720"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中小企业声明函（服务类、工程类）</w:t>
      </w:r>
      <w:r/>
    </w:p>
    <w:p>
      <w:pPr>
        <w:pStyle w:val="1106"/>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 xml:space="preserve">（采购单位名称①）</w:t>
      </w:r>
      <w:r>
        <w:rPr>
          <w:rFonts w:hint="eastAsia" w:ascii="宋体" w:hAnsi="宋体" w:eastAsia="宋体" w:cs="宋体"/>
          <w:sz w:val="24"/>
          <w:szCs w:val="24"/>
          <w:highlight w:val="none"/>
        </w:rPr>
        <w:t xml:space="preserve">采购编号为</w:t>
      </w:r>
      <w:r>
        <w:rPr>
          <w:rFonts w:hint="eastAsia" w:ascii="宋体" w:hAnsi="宋体" w:eastAsia="宋体" w:cs="宋体"/>
          <w:sz w:val="24"/>
          <w:szCs w:val="24"/>
          <w:highlight w:val="none"/>
          <w:u w:val="single"/>
        </w:rPr>
        <w:t xml:space="preserve">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（项目名称③）（分包号：④）</w:t>
      </w:r>
      <w:r>
        <w:rPr>
          <w:rFonts w:hint="eastAsia" w:ascii="宋体" w:hAnsi="宋体" w:eastAsia="宋体" w:cs="宋体"/>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（标的名称⑤）</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⑥</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（企业名称⑦）</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⑧</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⑨</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⑩</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（中型企业、小型企业、微型企业⑪）；</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企业名称（加盖CA电子公章）⑫：</w:t>
      </w:r>
      <w:r/>
    </w:p>
    <w:p>
      <w:pPr>
        <w:ind w:right="480" w:firstLine="540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7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3.（项目名称③）：填写本项目名称，如常州市XXX项目。</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4.（分包号：</w:t>
      </w:r>
      <w:r>
        <w:rPr>
          <w:rFonts w:hint="eastAsia" w:ascii="宋体" w:hAnsi="宋体" w:eastAsia="宋体" w:cs="宋体"/>
          <w:color w:val="000000"/>
          <w:sz w:val="24"/>
          <w:szCs w:val="24"/>
          <w:highlight w:val="none"/>
        </w:rPr>
        <w:t xml:space="preserve">④</w:t>
      </w:r>
      <w:r>
        <w:rPr>
          <w:rFonts w:hint="eastAsia" w:ascii="宋体" w:hAnsi="宋体" w:eastAsia="宋体" w:cs="宋体"/>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5.（标的名称</w:t>
      </w:r>
      <w:r>
        <w:rPr>
          <w:rFonts w:hint="eastAsia" w:ascii="宋体" w:hAnsi="宋体" w:eastAsia="宋体" w:cs="宋体"/>
          <w:color w:val="000000"/>
          <w:sz w:val="24"/>
          <w:szCs w:val="24"/>
          <w:highlight w:val="none"/>
        </w:rPr>
        <w:t xml:space="preserve">⑤</w:t>
      </w:r>
      <w:r>
        <w:rPr>
          <w:rFonts w:hint="eastAsia" w:ascii="宋体" w:hAnsi="宋体" w:eastAsia="宋体" w:cs="宋体"/>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7.（企业名称</w:t>
      </w:r>
      <w:r>
        <w:rPr>
          <w:rFonts w:hint="eastAsia" w:ascii="宋体" w:hAnsi="宋体" w:eastAsia="宋体" w:cs="宋体"/>
          <w:color w:val="000000"/>
          <w:sz w:val="24"/>
          <w:szCs w:val="24"/>
          <w:highlight w:val="none"/>
        </w:rPr>
        <w:t xml:space="preserve">⑦</w:t>
      </w:r>
      <w:r>
        <w:rPr>
          <w:rFonts w:hint="eastAsia" w:ascii="宋体" w:hAnsi="宋体" w:eastAsia="宋体" w:cs="宋体"/>
          <w:sz w:val="24"/>
          <w:szCs w:val="24"/>
          <w:highlight w:val="none"/>
        </w:rPr>
        <w:t xml:space="preserve">）：填写</w:t>
      </w:r>
      <w:r>
        <w:rPr>
          <w:rFonts w:hint="eastAsia" w:ascii="宋体" w:hAnsi="宋体" w:eastAsia="宋体" w:cs="宋体"/>
          <w:b/>
          <w:bCs/>
          <w:sz w:val="24"/>
          <w:szCs w:val="24"/>
          <w:highlight w:val="none"/>
        </w:rPr>
        <w:t xml:space="preserve">投标人或供应商的名称</w:t>
      </w:r>
      <w:r>
        <w:rPr>
          <w:rFonts w:hint="eastAsia" w:ascii="宋体" w:hAnsi="宋体" w:eastAsia="宋体" w:cs="宋体"/>
          <w:sz w:val="24"/>
          <w:szCs w:val="24"/>
          <w:highlight w:val="none"/>
        </w:rPr>
        <w:t xml:space="preserve">，如XXX公司。</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8.从业人员</w:t>
      </w:r>
      <w:r>
        <w:rPr>
          <w:rFonts w:hint="eastAsia" w:ascii="宋体" w:hAnsi="宋体" w:eastAsia="宋体" w:cs="宋体"/>
          <w:color w:val="000000"/>
          <w:sz w:val="24"/>
          <w:szCs w:val="24"/>
          <w:highlight w:val="none"/>
        </w:rPr>
        <w:t xml:space="preserve">⑧</w:t>
      </w:r>
      <w:r>
        <w:rPr>
          <w:rFonts w:hint="eastAsia" w:ascii="宋体" w:hAnsi="宋体" w:eastAsia="宋体" w:cs="宋体"/>
          <w:sz w:val="24"/>
          <w:szCs w:val="24"/>
          <w:highlight w:val="none"/>
        </w:rPr>
        <w:t xml:space="preserve">人，营业收入为⑨万元，资产总额为⑩万元：填报</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9.（中型企业、小型企业、微型企业</w:t>
      </w:r>
      <w:r>
        <w:rPr>
          <w:rFonts w:hint="eastAsia" w:ascii="宋体" w:hAnsi="宋体" w:eastAsia="宋体" w:cs="宋体"/>
          <w:sz w:val="24"/>
          <w:szCs w:val="24"/>
          <w:highlight w:val="none"/>
          <w:u w:val="single"/>
        </w:rPr>
        <w:t xml:space="preserve">⑪</w:t>
      </w:r>
      <w:r>
        <w:rPr>
          <w:rFonts w:hint="eastAsia" w:ascii="宋体" w:hAnsi="宋体" w:eastAsia="宋体" w:cs="宋体"/>
          <w:sz w:val="24"/>
          <w:szCs w:val="24"/>
          <w:highlight w:val="none"/>
        </w:rPr>
        <w:t xml:space="preserve">）：根据</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的企业规模情况填写中型企业、小型企业或微型企业</w:t>
      </w:r>
      <w:r>
        <w:rPr>
          <w:rFonts w:hint="eastAsia" w:ascii="宋体" w:hAnsi="宋体" w:eastAsia="宋体" w:cs="宋体"/>
          <w:b/>
          <w:bCs/>
          <w:sz w:val="24"/>
          <w:szCs w:val="24"/>
          <w:highlight w:val="none"/>
        </w:rPr>
        <w:t xml:space="preserve">（只能填写三种其中的一种）</w:t>
      </w:r>
      <w:r>
        <w:rPr>
          <w:rFonts w:hint="eastAsia" w:ascii="宋体" w:hAnsi="宋体" w:eastAsia="宋体" w:cs="宋体"/>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10.企业名称（盖章）⑫：加盖</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CA电子公章。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11.如是</w:t>
      </w:r>
      <w:r>
        <w:rPr>
          <w:rFonts w:hint="eastAsia" w:ascii="宋体" w:hAnsi="宋体" w:eastAsia="宋体" w:cs="宋体"/>
          <w:b/>
          <w:sz w:val="24"/>
          <w:szCs w:val="24"/>
          <w:highlight w:val="none"/>
        </w:rPr>
        <w:t xml:space="preserve">专门面向中小企业预留份额</w:t>
      </w:r>
      <w:r>
        <w:rPr>
          <w:rFonts w:hint="eastAsia" w:ascii="宋体" w:hAnsi="宋体" w:eastAsia="宋体" w:cs="宋体"/>
          <w:sz w:val="24"/>
          <w:szCs w:val="24"/>
          <w:highlight w:val="none"/>
        </w:rPr>
        <w:t xml:space="preserve">的采购项目，供应商未提供此声明函的，资格审查不予通过，作为</w:t>
      </w:r>
      <w:r>
        <w:rPr>
          <w:rFonts w:hint="eastAsia" w:ascii="宋体" w:hAnsi="宋体" w:eastAsia="宋体" w:cs="宋体"/>
          <w:b/>
          <w:sz w:val="24"/>
          <w:szCs w:val="24"/>
          <w:highlight w:val="none"/>
        </w:rPr>
        <w:t xml:space="preserve">无效投标（响应）</w:t>
      </w:r>
      <w:r>
        <w:rPr>
          <w:rFonts w:hint="eastAsia" w:ascii="宋体" w:hAnsi="宋体" w:eastAsia="宋体" w:cs="宋体"/>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12.温馨提示</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（1）对于已纳入统计部门统计范围的企业，所属行业、从业人员、营业收入、资产总额、规模类型应与统计部门报表保持一致。</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85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jc w:val="left"/>
        <w:widowControl/>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7" w:name="_Toc226965829"/>
      <w:r/>
      <w:bookmarkStart w:id="818" w:name="_Toc127151556"/>
      <w:r/>
      <w:bookmarkStart w:id="819" w:name="_Toc195842921"/>
      <w:r/>
      <w:bookmarkStart w:id="820" w:name="_Toc480942349"/>
      <w:r/>
      <w:bookmarkStart w:id="821" w:name="_Toc150774761"/>
      <w:r/>
      <w:bookmarkStart w:id="822" w:name="_Toc142311058"/>
      <w:r/>
      <w:bookmarkStart w:id="823" w:name="_Toc520356217"/>
      <w:r/>
      <w:bookmarkStart w:id="824" w:name="_Toc150480794"/>
      <w:r/>
      <w:bookmarkStart w:id="825" w:name="_Ref467988698"/>
      <w:r/>
      <w:bookmarkStart w:id="826" w:name="_Toc226309800"/>
      <w:r/>
      <w:bookmarkStart w:id="827" w:name="_Toc226965746"/>
      <w:r/>
      <w:bookmarkStart w:id="828" w:name="_Toc226337252"/>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29" w:name="_Hlt520356243"/>
      <w:r/>
      <w:bookmarkEnd w:id="829"/>
      <w:r/>
      <w:bookmarkStart w:id="830" w:name="_Hlt520355938"/>
      <w:r/>
      <w:bookmarkEnd w:id="830"/>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09"/>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096"/>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1" w:name="_Hlt520271212"/>
      <w:r/>
      <w:bookmarkEnd w:id="831"/>
      <w:r/>
      <w:bookmarkStart w:id="832" w:name="_Hlt520274393"/>
      <w:r/>
      <w:bookmarkEnd w:id="832"/>
      <w:r/>
      <w:bookmarkStart w:id="833" w:name="_Hlt520273711"/>
      <w:r/>
      <w:bookmarkEnd w:id="833"/>
      <w:r/>
      <w:bookmarkStart w:id="834" w:name="_Hlt520350918"/>
      <w:r/>
      <w:bookmarkEnd w:id="834"/>
      <w:r/>
      <w:bookmarkStart w:id="835" w:name="_Hlt520274121"/>
      <w:r/>
      <w:bookmarkEnd w:id="835"/>
      <w:r/>
      <w:bookmarkStart w:id="836" w:name="_Hlt520355504"/>
      <w:r/>
      <w:bookmarkEnd w:id="836"/>
      <w:r/>
      <w:bookmarkStart w:id="837" w:name="_Hlt520343000"/>
      <w:r/>
      <w:bookmarkEnd w:id="837"/>
      <w:r/>
      <w:bookmarkStart w:id="838" w:name="_Hlt520274065"/>
      <w:r/>
      <w:bookmarkEnd w:id="838"/>
      <w:r/>
      <w:bookmarkStart w:id="839" w:name="_Hlt520343392"/>
      <w:r/>
      <w:bookmarkEnd w:id="839"/>
      <w:r/>
      <w:bookmarkStart w:id="840" w:name="_Hlt520274407"/>
      <w:r/>
      <w:bookmarkEnd w:id="840"/>
      <w:r/>
      <w:bookmarkStart w:id="841" w:name="_Ref467988705"/>
      <w:r/>
      <w:bookmarkStart w:id="842" w:name="_Toc226309801"/>
      <w:r/>
      <w:bookmarkStart w:id="843" w:name="_Toc226965747"/>
      <w:r/>
      <w:bookmarkStart w:id="844" w:name="_Toc305158899"/>
      <w:r/>
      <w:bookmarkStart w:id="845" w:name="_Toc150480795"/>
      <w:r/>
      <w:bookmarkStart w:id="846" w:name="_Toc480942350"/>
      <w:r/>
      <w:bookmarkStart w:id="847" w:name="_Toc142311059"/>
      <w:r/>
      <w:bookmarkStart w:id="848" w:name="_Toc520356218"/>
      <w:r/>
      <w:bookmarkStart w:id="849" w:name="_Toc264969247"/>
      <w:r/>
      <w:bookmarkStart w:id="850" w:name="_Toc226965830"/>
      <w:r/>
      <w:bookmarkStart w:id="851" w:name="_Toc127151557"/>
      <w:r/>
      <w:bookmarkStart w:id="852" w:name="_Toc195842922"/>
      <w:r/>
      <w:bookmarkStart w:id="853" w:name="_Toc265228395"/>
      <w:r/>
      <w:bookmarkStart w:id="854" w:name="_Toc305158825"/>
      <w:r/>
      <w:bookmarkStart w:id="855" w:name="_Toc150774762"/>
      <w:r/>
      <w:bookmarkStart w:id="856" w:name="_Toc226337253"/>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
    </w:p>
    <w:p>
      <w:pPr>
        <w:jc w:val="center"/>
        <w:spacing w:line="360" w:lineRule="exact"/>
        <w:rPr>
          <w:b/>
          <w:sz w:val="36"/>
          <w:szCs w:val="36"/>
          <w:highlight w:val="none"/>
        </w:rPr>
      </w:pPr>
      <w:r/>
      <w:bookmarkStart w:id="857" w:name="_Toc265228396"/>
      <w:r/>
      <w:bookmarkStart w:id="858" w:name="_Toc305158900"/>
      <w:r/>
      <w:bookmarkStart w:id="859" w:name="_Toc226309802"/>
      <w:r/>
      <w:bookmarkStart w:id="860" w:name="_Toc164608827"/>
      <w:r/>
      <w:bookmarkStart w:id="861" w:name="_Toc226965748"/>
      <w:r/>
      <w:bookmarkStart w:id="862" w:name="_Toc264969248"/>
      <w:r/>
      <w:bookmarkStart w:id="863" w:name="_Toc164608672"/>
      <w:r/>
      <w:bookmarkStart w:id="864" w:name="_Toc195842923"/>
      <w:r/>
      <w:bookmarkStart w:id="865" w:name="_Toc305158826"/>
      <w:r/>
      <w:bookmarkStart w:id="866" w:name="_Toc226965831"/>
      <w:r/>
      <w:bookmarkStart w:id="867" w:name="_Toc226337254"/>
      <w:r>
        <w:rPr>
          <w:rFonts w:hint="eastAsia"/>
          <w:b/>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855"/>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41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1182"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41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jc w:val="left"/>
        <w:widowControl/>
        <w:rPr>
          <w:rFonts w:ascii="Times New Roman" w:hAnsi="Times New Roman" w:eastAsia="宋体" w:cs="Times New Roman"/>
          <w:sz w:val="24"/>
          <w:szCs w:val="20"/>
          <w:highlight w:val="none"/>
        </w:rPr>
      </w:pPr>
      <w:r/>
      <w:bookmarkStart w:id="868" w:name="_Toc226309803"/>
      <w:r/>
      <w:bookmarkStart w:id="869" w:name="_Toc305158901"/>
      <w:r/>
      <w:bookmarkStart w:id="870" w:name="_Toc150480796"/>
      <w:r/>
      <w:bookmarkStart w:id="871" w:name="_Toc305158827"/>
      <w:r/>
      <w:bookmarkStart w:id="872" w:name="_Toc142311060"/>
      <w:r/>
      <w:bookmarkStart w:id="873" w:name="_Toc226965749"/>
      <w:r/>
      <w:bookmarkStart w:id="874" w:name="_Toc264969249"/>
      <w:r/>
      <w:bookmarkStart w:id="875" w:name="_Toc127151558"/>
      <w:r/>
      <w:bookmarkStart w:id="876" w:name="_Toc265228397"/>
      <w:r/>
      <w:bookmarkStart w:id="877" w:name="_Toc195842924"/>
      <w:r/>
      <w:bookmarkStart w:id="878" w:name="_Toc226965832"/>
      <w:r/>
      <w:bookmarkStart w:id="879" w:name="_Toc150774763"/>
      <w:r/>
      <w:bookmarkStart w:id="880" w:name="_Toc226337255"/>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127151562"/>
      <w:r/>
      <w:bookmarkStart w:id="882" w:name="_Toc226965752"/>
      <w:r/>
      <w:bookmarkStart w:id="883" w:name="_Toc226337258"/>
      <w:r/>
      <w:bookmarkStart w:id="884" w:name="_Toc150480798"/>
      <w:r/>
      <w:bookmarkStart w:id="885" w:name="_Toc226965835"/>
      <w:r/>
      <w:bookmarkStart w:id="886" w:name="_Toc305158830"/>
      <w:r/>
      <w:bookmarkStart w:id="887" w:name="_Toc264969252"/>
      <w:r/>
      <w:bookmarkStart w:id="888" w:name="_Toc265228400"/>
      <w:r/>
      <w:bookmarkStart w:id="889" w:name="_Toc195842927"/>
      <w:r/>
      <w:bookmarkStart w:id="890" w:name="_Toc142311062"/>
      <w:r/>
      <w:bookmarkStart w:id="891" w:name="_Toc305158904"/>
      <w:r/>
      <w:bookmarkStart w:id="892" w:name="_Toc226309806"/>
      <w:r/>
      <w:bookmarkStart w:id="893" w:name="_Toc150774765"/>
      <w:r/>
      <w:bookmarkStart w:id="894" w:name="_Toc305158903"/>
      <w:r/>
      <w:bookmarkStart w:id="895" w:name="_Toc264969251"/>
      <w:r/>
      <w:bookmarkStart w:id="896" w:name="_Toc226965834"/>
      <w:r/>
      <w:bookmarkStart w:id="897" w:name="_Toc265228399"/>
      <w:r/>
      <w:bookmarkStart w:id="898" w:name="_Toc195842926"/>
      <w:r/>
      <w:bookmarkStart w:id="899" w:name="_Toc142311061"/>
      <w:r/>
      <w:bookmarkStart w:id="900" w:name="_Toc150774764"/>
      <w:r/>
      <w:bookmarkStart w:id="901" w:name="_Toc226965751"/>
      <w:r/>
      <w:bookmarkStart w:id="902" w:name="_Toc127151561"/>
      <w:r/>
      <w:bookmarkStart w:id="903" w:name="_Toc305158829"/>
      <w:r/>
      <w:bookmarkStart w:id="904" w:name="_Toc150480797"/>
      <w:r/>
      <w:bookmarkStart w:id="905" w:name="_Toc226337257"/>
      <w:r/>
      <w:bookmarkStart w:id="906" w:name="_Toc226309805"/>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 xml:space="preserve">投标分项报价表</w:t>
      </w:r>
      <w:r/>
    </w:p>
    <w:p>
      <w:pPr>
        <w:jc w:val="center"/>
        <w:spacing w:line="360" w:lineRule="exact"/>
        <w:rPr>
          <w:rFonts w:ascii="Times New Roman" w:hAnsi="Times New Roman" w:eastAsia="宋体" w:cs="Times New Roman"/>
          <w:sz w:val="36"/>
          <w:szCs w:val="36"/>
          <w:highlight w:val="none"/>
        </w:rPr>
      </w:pPr>
      <w:r>
        <w:rPr>
          <w:rFonts w:ascii="Times New Roman" w:hAnsi="Times New Roman" w:eastAsia="宋体" w:cs="Times New Roman"/>
          <w:sz w:val="36"/>
          <w:szCs w:val="36"/>
          <w:highlight w:val="none"/>
        </w:rPr>
      </w:r>
      <w:r/>
    </w:p>
    <w:p>
      <w:pPr>
        <w:jc w:val="left"/>
        <w:spacing w:before="240" w:after="240"/>
        <w:rPr>
          <w:rFonts w:ascii="Times New Roman" w:hAnsi="Times New Roman" w:eastAsia="宋体" w:cs="Times New Roman"/>
          <w:b/>
          <w:i/>
          <w:color w:val="ff0000"/>
          <w:sz w:val="24"/>
          <w:highlight w:val="none"/>
        </w:rPr>
      </w:pPr>
      <w:r>
        <w:rPr>
          <w:rFonts w:ascii="Times New Roman" w:hAnsi="Times New Roman" w:eastAsia="宋体" w:cs="Times New Roman"/>
          <w:b/>
          <w:i/>
          <w:color w:val="ff0000"/>
          <w:sz w:val="24"/>
          <w:highlight w:val="none"/>
        </w:rPr>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855"/>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42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分项名称</w:t>
            </w:r>
            <w:r/>
          </w:p>
        </w:tc>
        <w:tc>
          <w:tcPr>
            <w:tcW w:w="253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2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253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3"/>
            <w:tcW w:w="4625"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ascii="Times New Roman" w:hAnsi="Times New Roman" w:eastAsia="宋体" w:cs="Times New Roman"/>
          <w:color w:val="000000"/>
          <w:sz w:val="24"/>
          <w:highlight w:val="none"/>
          <w:lang w:val="en-US" w:eastAsia="zh-CN"/>
        </w:rPr>
        <w:t xml:space="preserve">应</w:t>
      </w:r>
      <w:r>
        <w:rPr>
          <w:rFonts w:hint="eastAsia" w:ascii="Times New Roman" w:hAnsi="Times New Roman" w:eastAsia="宋体" w:cs="Times New Roman"/>
          <w:color w:val="000000"/>
          <w:sz w:val="24"/>
          <w:highlight w:val="none"/>
          <w:lang w:val="en-US" w:eastAsia="zh-CN"/>
        </w:rPr>
        <w:t xml:space="preserve">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w:t>
      </w:r>
      <w:r>
        <w:rPr>
          <w:rFonts w:hint="eastAsia" w:ascii="Times New Roman" w:hAnsi="Times New Roman" w:eastAsia="宋体" w:cs="Times New Roman"/>
          <w:color w:val="000000"/>
          <w:sz w:val="24"/>
          <w:highlight w:val="none"/>
        </w:rPr>
        <w:t xml:space="preserve">服务内容如表格中填写不下的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8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85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55"/>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2"/>
          <w:highlight w:val="none"/>
        </w:rPr>
        <w:br w:type="page" w:clear="all"/>
      </w:r>
      <w:bookmarkStart w:id="907" w:name="_Toc288738397"/>
      <w:r/>
      <w:bookmarkStart w:id="908" w:name="_Toc288738839"/>
      <w:r>
        <w:rPr>
          <w:rFonts w:hint="eastAsia"/>
          <w:sz w:val="24"/>
          <w:szCs w:val="20"/>
          <w:highlight w:val="none"/>
          <w:lang w:val="en-US" w:eastAsia="zh-CN"/>
        </w:rPr>
        <w:t xml:space="preserve">10 </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7"/>
      <w:r/>
      <w:bookmarkEnd w:id="908"/>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5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pStyle w:val="1107"/>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11</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contextualSpacing/>
        <w:spacing w:line="360" w:lineRule="auto"/>
        <w:rPr>
          <w:b/>
          <w:sz w:val="36"/>
          <w:szCs w:val="36"/>
          <w:highlight w:val="none"/>
        </w:rPr>
      </w:pPr>
      <w:r>
        <w:rPr>
          <w:b/>
          <w:sz w:val="36"/>
          <w:szCs w:val="36"/>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Wingdings 2">
    <w:panose1 w:val="05020102010507070707"/>
  </w:font>
  <w:font w:name="SimSun">
    <w:panose1 w:val="02010600030101010101"/>
  </w:font>
  <w:font w:name="方正仿宋_GBK">
    <w:panose1 w:val="020B0503020202020204"/>
  </w:font>
  <w:font w:name="CESI黑体-GB2312">
    <w:panose1 w:val="020B0503020202020204"/>
  </w:font>
  <w:font w:name="Wingdings">
    <w:panose1 w:val="05000000000000000000"/>
  </w:font>
  <w:font w:name="仿宋">
    <w:panose1 w:val="02010609060101010101"/>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3"/>
      </w:rPr>
    </w:pPr>
    <w:r/>
    <w:r/>
  </w:p>
  <w:p>
    <w:pPr>
      <w:pStyle w:val="87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pPr>
                          <w:r>
                            <w:fldChar w:fldCharType="begin"/>
                          </w:r>
                          <w:r>
                            <w:instrText xml:space="preserve"> PAGE  \* MERGEFORMAT </w:instrText>
                          </w:r>
                          <w:r>
                            <w:fldChar w:fldCharType="separate"/>
                          </w:r>
                          <w:r>
                            <w:t xml:space="preserve">0</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p>
    <w:pPr>
      <w:pStyle w:val="874"/>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3"/>
      </w:rPr>
      <w:framePr w:wrap="around" w:vAnchor="text" w:hAnchor="margin" w:xAlign="right" w:y="1"/>
    </w:pPr>
    <w:r>
      <w:rPr>
        <w:rStyle w:val="893"/>
      </w:rPr>
      <w:fldChar w:fldCharType="begin"/>
    </w:r>
    <w:r>
      <w:rPr>
        <w:rStyle w:val="893"/>
      </w:rPr>
      <w:instrText xml:space="preserve">PAGE  </w:instrText>
    </w:r>
    <w:r>
      <w:rPr>
        <w:rStyle w:val="893"/>
      </w:rPr>
      <w:fldChar w:fldCharType="end"/>
    </w:r>
    <w:r/>
  </w:p>
  <w:p>
    <w:pPr>
      <w:pStyle w:val="874"/>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10"/>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0"/>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pPr>
    <w:r>
      <w:rPr>
        <w:rFonts w:hint="eastAsia"/>
      </w:rPr>
      <w:t xml:space="preserve">江苏溧投招标服务有限公司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pPr>
    <w:r>
      <w:rPr>
        <w:rFonts w:hint="eastAsia"/>
      </w:rPr>
      <w:t xml:space="preserve">江苏溧投招标服务有限公司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95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03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00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5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98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98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99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0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7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99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95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057"/>
      <w:isLgl w:val="false"/>
      <w:suff w:val="tab"/>
      <w:lvlText w:val="%1"/>
      <w:lvlJc w:val="left"/>
      <w:pPr>
        <w:ind w:left="680" w:hanging="680"/>
      </w:pPr>
      <w:rPr>
        <w:rFonts w:hint="eastAsia" w:ascii="宋体" w:hAnsi="宋体" w:eastAsia="宋体"/>
      </w:rPr>
    </w:lvl>
    <w:lvl w:ilvl="1">
      <w:start w:val="1"/>
      <w:numFmt w:val="decimal"/>
      <w:pStyle w:val="1058"/>
      <w:isLgl w:val="false"/>
      <w:suff w:val="tab"/>
      <w:lvlText w:val="%1.%2"/>
      <w:lvlJc w:val="left"/>
      <w:pPr>
        <w:ind w:left="851" w:hanging="851"/>
      </w:pPr>
      <w:rPr>
        <w:rFonts w:hint="eastAsia" w:ascii="宋体" w:hAnsi="宋体" w:eastAsia="宋体"/>
        <w:color w:val="auto"/>
      </w:rPr>
    </w:lvl>
    <w:lvl w:ilvl="2">
      <w:start w:val="1"/>
      <w:numFmt w:val="decimal"/>
      <w:pStyle w:val="105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886"/>
    <w:uiPriority w:val="10"/>
    <w:rPr>
      <w:sz w:val="48"/>
      <w:szCs w:val="48"/>
    </w:rPr>
  </w:style>
  <w:style w:type="paragraph" w:styleId="35">
    <w:name w:val="Subtitle"/>
    <w:basedOn w:val="844"/>
    <w:next w:val="844"/>
    <w:link w:val="36"/>
    <w:uiPriority w:val="11"/>
    <w:qFormat/>
    <w:pPr>
      <w:spacing w:before="200" w:after="200"/>
    </w:pPr>
    <w:rPr>
      <w:sz w:val="24"/>
      <w:szCs w:val="24"/>
    </w:rPr>
  </w:style>
  <w:style w:type="character" w:styleId="36">
    <w:name w:val="Subtitle Char"/>
    <w:basedOn w:val="854"/>
    <w:link w:val="35"/>
    <w:uiPriority w:val="11"/>
    <w:rPr>
      <w:sz w:val="24"/>
      <w:szCs w:val="24"/>
    </w:rPr>
  </w:style>
  <w:style w:type="paragraph" w:styleId="37">
    <w:name w:val="Quote"/>
    <w:basedOn w:val="844"/>
    <w:next w:val="844"/>
    <w:link w:val="38"/>
    <w:uiPriority w:val="29"/>
    <w:qFormat/>
    <w:pPr>
      <w:ind w:left="720" w:right="720"/>
    </w:pPr>
    <w:rPr>
      <w:i/>
    </w:rPr>
  </w:style>
  <w:style w:type="character" w:styleId="38">
    <w:name w:val="Quote Char"/>
    <w:link w:val="37"/>
    <w:uiPriority w:val="29"/>
    <w:rPr>
      <w:i/>
    </w:rPr>
  </w:style>
  <w:style w:type="paragraph" w:styleId="39">
    <w:name w:val="Intense Quote"/>
    <w:basedOn w:val="844"/>
    <w:next w:val="8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4"/>
    <w:link w:val="876"/>
    <w:uiPriority w:val="99"/>
  </w:style>
  <w:style w:type="character" w:styleId="44">
    <w:name w:val="Footer Char"/>
    <w:basedOn w:val="854"/>
    <w:link w:val="874"/>
    <w:uiPriority w:val="99"/>
  </w:style>
  <w:style w:type="character" w:styleId="46">
    <w:name w:val="Caption Char"/>
    <w:basedOn w:val="858"/>
    <w:link w:val="874"/>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4"/>
    <w:uiPriority w:val="99"/>
    <w:unhideWhenUsed/>
    <w:rPr>
      <w:vertAlign w:val="superscript"/>
    </w:rPr>
  </w:style>
  <w:style w:type="paragraph" w:styleId="177">
    <w:name w:val="endnote text"/>
    <w:basedOn w:val="8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4"/>
    <w:uiPriority w:val="99"/>
    <w:semiHidden/>
    <w:unhideWhenUsed/>
    <w:rPr>
      <w:vertAlign w:val="superscript"/>
    </w:r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84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5">
    <w:name w:val="Heading 1"/>
    <w:basedOn w:val="844"/>
    <w:next w:val="844"/>
    <w:link w:val="899"/>
    <w:uiPriority w:val="0"/>
    <w:qFormat/>
    <w:pPr>
      <w:jc w:val="center"/>
      <w:keepLines/>
      <w:keepNext/>
      <w:spacing w:before="240" w:after="120" w:line="300" w:lineRule="auto"/>
      <w:outlineLvl w:val="0"/>
    </w:pPr>
    <w:rPr>
      <w:rFonts w:ascii="宋体"/>
      <w:b/>
      <w:sz w:val="32"/>
      <w:szCs w:val="20"/>
    </w:rPr>
  </w:style>
  <w:style w:type="paragraph" w:styleId="846">
    <w:name w:val="Heading 2"/>
    <w:basedOn w:val="844"/>
    <w:next w:val="856"/>
    <w:link w:val="900"/>
    <w:uiPriority w:val="0"/>
    <w:qFormat/>
    <w:pPr>
      <w:jc w:val="center"/>
      <w:keepLines/>
      <w:keepNext/>
      <w:spacing w:before="120" w:line="300" w:lineRule="auto"/>
      <w:outlineLvl w:val="1"/>
    </w:pPr>
    <w:rPr>
      <w:rFonts w:ascii="Arial" w:hAnsi="Arial" w:eastAsia="黑体"/>
      <w:b/>
      <w:sz w:val="30"/>
      <w:szCs w:val="20"/>
    </w:rPr>
  </w:style>
  <w:style w:type="paragraph" w:styleId="847">
    <w:name w:val="Heading 3"/>
    <w:basedOn w:val="844"/>
    <w:next w:val="844"/>
    <w:link w:val="902"/>
    <w:uiPriority w:val="0"/>
    <w:qFormat/>
    <w:pPr>
      <w:jc w:val="left"/>
      <w:keepLines/>
      <w:keepNext/>
      <w:spacing w:before="360" w:after="120"/>
      <w:outlineLvl w:val="2"/>
    </w:pPr>
    <w:rPr>
      <w:rFonts w:ascii="宋体"/>
      <w:b/>
      <w:sz w:val="24"/>
      <w:szCs w:val="20"/>
      <w:u w:val="single"/>
    </w:rPr>
  </w:style>
  <w:style w:type="paragraph" w:styleId="848">
    <w:name w:val="Heading 4"/>
    <w:basedOn w:val="844"/>
    <w:next w:val="844"/>
    <w:link w:val="903"/>
    <w:uiPriority w:val="0"/>
    <w:qFormat/>
    <w:pPr>
      <w:keepLines/>
      <w:keepNext/>
      <w:spacing w:before="280" w:after="290" w:line="376" w:lineRule="atLeast"/>
      <w:outlineLvl w:val="3"/>
    </w:pPr>
    <w:rPr>
      <w:rFonts w:ascii="Arial" w:hAnsi="Arial" w:eastAsia="黑体"/>
      <w:b/>
      <w:sz w:val="28"/>
      <w:szCs w:val="20"/>
    </w:rPr>
  </w:style>
  <w:style w:type="paragraph" w:styleId="849">
    <w:name w:val="Heading 5"/>
    <w:basedOn w:val="844"/>
    <w:next w:val="844"/>
    <w:link w:val="904"/>
    <w:uiPriority w:val="0"/>
    <w:qFormat/>
    <w:pPr>
      <w:keepLines/>
      <w:keepNext/>
      <w:spacing w:before="280" w:after="290" w:line="376" w:lineRule="atLeast"/>
      <w:outlineLvl w:val="4"/>
    </w:pPr>
    <w:rPr>
      <w:b/>
      <w:sz w:val="28"/>
      <w:szCs w:val="20"/>
    </w:rPr>
  </w:style>
  <w:style w:type="paragraph" w:styleId="850">
    <w:name w:val="Heading 6"/>
    <w:basedOn w:val="844"/>
    <w:next w:val="844"/>
    <w:link w:val="905"/>
    <w:uiPriority w:val="0"/>
    <w:qFormat/>
    <w:pPr>
      <w:keepLines/>
      <w:keepNext/>
      <w:spacing w:before="240" w:after="64" w:line="320" w:lineRule="atLeast"/>
      <w:outlineLvl w:val="5"/>
    </w:pPr>
    <w:rPr>
      <w:rFonts w:ascii="Arial" w:hAnsi="Arial" w:eastAsia="黑体"/>
      <w:b/>
      <w:sz w:val="24"/>
      <w:szCs w:val="20"/>
    </w:rPr>
  </w:style>
  <w:style w:type="paragraph" w:styleId="851">
    <w:name w:val="Heading 7"/>
    <w:basedOn w:val="844"/>
    <w:next w:val="844"/>
    <w:link w:val="906"/>
    <w:uiPriority w:val="0"/>
    <w:qFormat/>
    <w:pPr>
      <w:keepLines/>
      <w:keepNext/>
      <w:spacing w:before="240" w:after="64" w:line="320" w:lineRule="atLeast"/>
      <w:outlineLvl w:val="6"/>
    </w:pPr>
    <w:rPr>
      <w:b/>
      <w:sz w:val="24"/>
      <w:szCs w:val="20"/>
    </w:rPr>
  </w:style>
  <w:style w:type="paragraph" w:styleId="852">
    <w:name w:val="Heading 8"/>
    <w:basedOn w:val="844"/>
    <w:next w:val="844"/>
    <w:link w:val="907"/>
    <w:uiPriority w:val="0"/>
    <w:qFormat/>
    <w:pPr>
      <w:keepLines/>
      <w:keepNext/>
      <w:spacing w:before="240" w:after="64" w:line="320" w:lineRule="atLeast"/>
      <w:outlineLvl w:val="7"/>
    </w:pPr>
    <w:rPr>
      <w:rFonts w:ascii="Arial" w:hAnsi="Arial" w:eastAsia="黑体"/>
      <w:sz w:val="24"/>
      <w:szCs w:val="20"/>
    </w:rPr>
  </w:style>
  <w:style w:type="paragraph" w:styleId="853">
    <w:name w:val="Heading 9"/>
    <w:basedOn w:val="844"/>
    <w:next w:val="844"/>
    <w:link w:val="908"/>
    <w:uiPriority w:val="0"/>
    <w:qFormat/>
    <w:pPr>
      <w:keepLines/>
      <w:keepNext/>
      <w:spacing w:before="240" w:after="64" w:line="320" w:lineRule="atLeast"/>
      <w:outlineLvl w:val="8"/>
    </w:pPr>
    <w:rPr>
      <w:rFonts w:ascii="Arial" w:hAnsi="Arial" w:eastAsia="黑体"/>
      <w:szCs w:val="20"/>
    </w:rPr>
  </w:style>
  <w:style w:type="character" w:styleId="854" w:default="1">
    <w:name w:val="Default Paragraph Font"/>
    <w:uiPriority w:val="1"/>
    <w:unhideWhenUsed/>
    <w:qFormat/>
  </w:style>
  <w:style w:type="table" w:styleId="855" w:default="1">
    <w:name w:val="Normal Table"/>
    <w:uiPriority w:val="99"/>
    <w:unhideWhenUsed/>
    <w:qFormat/>
    <w:tblPr>
      <w:tblCellMar>
        <w:left w:w="108" w:type="dxa"/>
        <w:top w:w="0" w:type="dxa"/>
        <w:right w:w="108" w:type="dxa"/>
        <w:bottom w:w="0" w:type="dxa"/>
      </w:tblCellMar>
    </w:tblPr>
  </w:style>
  <w:style w:type="paragraph" w:styleId="856">
    <w:name w:val="Normal Indent"/>
    <w:basedOn w:val="844"/>
    <w:next w:val="844"/>
    <w:link w:val="901"/>
    <w:uiPriority w:val="0"/>
    <w:qFormat/>
    <w:pPr>
      <w:ind w:firstLine="420"/>
      <w:jc w:val="left"/>
    </w:pPr>
    <w:rPr>
      <w:rFonts w:ascii="宋体"/>
      <w:sz w:val="24"/>
    </w:rPr>
  </w:style>
  <w:style w:type="paragraph" w:styleId="857">
    <w:name w:val="toc 7"/>
    <w:basedOn w:val="844"/>
    <w:next w:val="844"/>
    <w:uiPriority w:val="0"/>
    <w:qFormat/>
    <w:pPr>
      <w:ind w:left="2520"/>
    </w:pPr>
  </w:style>
  <w:style w:type="paragraph" w:styleId="858">
    <w:name w:val="Caption"/>
    <w:basedOn w:val="844"/>
    <w:next w:val="844"/>
    <w:uiPriority w:val="0"/>
    <w:qFormat/>
    <w:pPr>
      <w:spacing w:line="480" w:lineRule="auto"/>
    </w:pPr>
    <w:rPr>
      <w:rFonts w:ascii="华文中宋" w:hAnsi="华文中宋" w:eastAsia="华文中宋"/>
      <w:sz w:val="36"/>
      <w:szCs w:val="20"/>
    </w:rPr>
  </w:style>
  <w:style w:type="paragraph" w:styleId="859">
    <w:name w:val="Document Map"/>
    <w:basedOn w:val="844"/>
    <w:link w:val="909"/>
    <w:uiPriority w:val="0"/>
    <w:qFormat/>
    <w:pPr>
      <w:shd w:val="clear" w:color="auto" w:fill="000080"/>
    </w:pPr>
  </w:style>
  <w:style w:type="paragraph" w:styleId="860">
    <w:name w:val="annotation text"/>
    <w:basedOn w:val="844"/>
    <w:link w:val="910"/>
    <w:uiPriority w:val="99"/>
    <w:qFormat/>
    <w:pPr>
      <w:jc w:val="left"/>
    </w:pPr>
  </w:style>
  <w:style w:type="paragraph" w:styleId="861">
    <w:name w:val="Body Text 3"/>
    <w:basedOn w:val="844"/>
    <w:link w:val="911"/>
    <w:uiPriority w:val="0"/>
    <w:qFormat/>
    <w:pPr>
      <w:spacing w:after="120"/>
    </w:pPr>
    <w:rPr>
      <w:sz w:val="16"/>
      <w:szCs w:val="16"/>
    </w:rPr>
  </w:style>
  <w:style w:type="paragraph" w:styleId="862">
    <w:name w:val="Body Text"/>
    <w:basedOn w:val="844"/>
    <w:link w:val="912"/>
    <w:uiPriority w:val="0"/>
    <w:qFormat/>
    <w:pPr>
      <w:spacing w:before="120" w:line="22" w:lineRule="atLeast"/>
      <w:tabs>
        <w:tab w:val="left" w:pos="567" w:leader="none"/>
      </w:tabs>
    </w:pPr>
    <w:rPr>
      <w:rFonts w:ascii="宋体" w:hAnsi="宋体"/>
      <w:sz w:val="24"/>
    </w:rPr>
  </w:style>
  <w:style w:type="paragraph" w:styleId="863">
    <w:name w:val="Body Text Indent"/>
    <w:basedOn w:val="844"/>
    <w:link w:val="913"/>
    <w:uiPriority w:val="0"/>
    <w:qFormat/>
    <w:pPr>
      <w:ind w:firstLine="570"/>
      <w:spacing w:line="360" w:lineRule="auto"/>
    </w:pPr>
    <w:rPr>
      <w:sz w:val="24"/>
    </w:rPr>
  </w:style>
  <w:style w:type="paragraph" w:styleId="864">
    <w:name w:val="List 2"/>
    <w:basedOn w:val="844"/>
    <w:uiPriority w:val="0"/>
    <w:qFormat/>
    <w:pPr>
      <w:ind w:left="100" w:hanging="200"/>
    </w:pPr>
  </w:style>
  <w:style w:type="paragraph" w:styleId="865">
    <w:name w:val="Block Text"/>
    <w:basedOn w:val="844"/>
    <w:uiPriority w:val="0"/>
    <w:qFormat/>
    <w:pPr>
      <w:ind w:left="480" w:right="-341" w:firstLine="513"/>
      <w:widowControl/>
    </w:pPr>
    <w:rPr>
      <w:sz w:val="24"/>
      <w:szCs w:val="20"/>
    </w:rPr>
  </w:style>
  <w:style w:type="paragraph" w:styleId="866">
    <w:name w:val="index 4"/>
    <w:basedOn w:val="844"/>
    <w:next w:val="844"/>
    <w:uiPriority w:val="99"/>
    <w:unhideWhenUsed/>
    <w:qFormat/>
    <w:pPr>
      <w:ind w:left="600"/>
    </w:pPr>
    <w:rPr>
      <w:rFonts w:ascii="宋体"/>
      <w:b/>
      <w:position w:val="-10"/>
      <w:sz w:val="24"/>
      <w:szCs w:val="20"/>
    </w:rPr>
  </w:style>
  <w:style w:type="paragraph" w:styleId="867">
    <w:name w:val="toc 5"/>
    <w:basedOn w:val="844"/>
    <w:next w:val="844"/>
    <w:uiPriority w:val="0"/>
    <w:qFormat/>
    <w:pPr>
      <w:ind w:left="1680"/>
    </w:pPr>
  </w:style>
  <w:style w:type="paragraph" w:styleId="868">
    <w:name w:val="toc 3"/>
    <w:basedOn w:val="844"/>
    <w:next w:val="844"/>
    <w:uiPriority w:val="39"/>
    <w:qFormat/>
    <w:pPr>
      <w:ind w:left="840"/>
    </w:pPr>
  </w:style>
  <w:style w:type="paragraph" w:styleId="869">
    <w:name w:val="Plain Text"/>
    <w:basedOn w:val="844"/>
    <w:next w:val="844"/>
    <w:link w:val="914"/>
    <w:uiPriority w:val="0"/>
    <w:qFormat/>
    <w:rPr>
      <w:rFonts w:hint="eastAsia" w:ascii="宋体" w:hAnsi="Courier New"/>
      <w:szCs w:val="20"/>
    </w:rPr>
  </w:style>
  <w:style w:type="paragraph" w:styleId="870">
    <w:name w:val="toc 8"/>
    <w:basedOn w:val="844"/>
    <w:next w:val="844"/>
    <w:uiPriority w:val="0"/>
    <w:qFormat/>
    <w:pPr>
      <w:ind w:left="2940"/>
    </w:pPr>
  </w:style>
  <w:style w:type="paragraph" w:styleId="871">
    <w:name w:val="Date"/>
    <w:basedOn w:val="844"/>
    <w:next w:val="844"/>
    <w:link w:val="915"/>
    <w:uiPriority w:val="0"/>
    <w:qFormat/>
    <w:pPr>
      <w:ind w:left="100"/>
    </w:pPr>
    <w:rPr>
      <w:rFonts w:ascii="仿宋_GB2312" w:hAnsi="宋体" w:eastAsia="仿宋_GB2312"/>
      <w:color w:val="000000"/>
      <w:sz w:val="24"/>
    </w:rPr>
  </w:style>
  <w:style w:type="paragraph" w:styleId="872">
    <w:name w:val="Body Text Indent 2"/>
    <w:basedOn w:val="844"/>
    <w:link w:val="916"/>
    <w:uiPriority w:val="0"/>
    <w:qFormat/>
    <w:pPr>
      <w:ind w:firstLine="480"/>
    </w:pPr>
    <w:rPr>
      <w:rFonts w:ascii="仿宋_GB2312" w:eastAsia="仿宋_GB2312"/>
      <w:sz w:val="24"/>
    </w:rPr>
  </w:style>
  <w:style w:type="paragraph" w:styleId="873">
    <w:name w:val="Balloon Text"/>
    <w:basedOn w:val="844"/>
    <w:link w:val="917"/>
    <w:uiPriority w:val="0"/>
    <w:qFormat/>
    <w:rPr>
      <w:sz w:val="18"/>
      <w:szCs w:val="18"/>
    </w:rPr>
  </w:style>
  <w:style w:type="paragraph" w:styleId="874">
    <w:name w:val="Footer"/>
    <w:basedOn w:val="844"/>
    <w:link w:val="918"/>
    <w:uiPriority w:val="99"/>
    <w:qFormat/>
    <w:pPr>
      <w:jc w:val="left"/>
      <w:tabs>
        <w:tab w:val="center" w:pos="4153" w:leader="none"/>
        <w:tab w:val="right" w:pos="8306" w:leader="none"/>
      </w:tabs>
    </w:pPr>
    <w:rPr>
      <w:rFonts w:ascii="宋体"/>
      <w:sz w:val="18"/>
      <w:szCs w:val="20"/>
    </w:rPr>
  </w:style>
  <w:style w:type="paragraph" w:styleId="875">
    <w:name w:val="envelope return"/>
    <w:basedOn w:val="844"/>
    <w:uiPriority w:val="0"/>
    <w:qFormat/>
    <w:rPr>
      <w:rFonts w:ascii="Arial" w:hAnsi="Arial" w:eastAsia="宋体" w:cs="Times New Roman"/>
    </w:rPr>
  </w:style>
  <w:style w:type="paragraph" w:styleId="876">
    <w:name w:val="Header"/>
    <w:basedOn w:val="844"/>
    <w:link w:val="919"/>
    <w:uiPriority w:val="0"/>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44"/>
    <w:next w:val="844"/>
    <w:uiPriority w:val="39"/>
    <w:qFormat/>
    <w:pPr>
      <w:spacing w:line="300" w:lineRule="auto"/>
      <w:tabs>
        <w:tab w:val="left" w:pos="1050" w:leader="none"/>
        <w:tab w:val="right" w:pos="8937" w:leader="dot"/>
      </w:tabs>
    </w:pPr>
    <w:rPr>
      <w:rFonts w:ascii="宋体" w:hAnsi="宋体"/>
      <w:b/>
      <w:sz w:val="24"/>
    </w:rPr>
  </w:style>
  <w:style w:type="paragraph" w:styleId="878">
    <w:name w:val="toc 4"/>
    <w:basedOn w:val="844"/>
    <w:next w:val="844"/>
    <w:uiPriority w:val="0"/>
    <w:qFormat/>
    <w:pPr>
      <w:ind w:left="1260"/>
    </w:pPr>
  </w:style>
  <w:style w:type="paragraph" w:styleId="879">
    <w:name w:val="toc 6"/>
    <w:basedOn w:val="844"/>
    <w:next w:val="844"/>
    <w:uiPriority w:val="0"/>
    <w:qFormat/>
    <w:pPr>
      <w:ind w:left="2100"/>
    </w:pPr>
  </w:style>
  <w:style w:type="paragraph" w:styleId="880">
    <w:name w:val="Body Text Indent 3"/>
    <w:basedOn w:val="844"/>
    <w:link w:val="920"/>
    <w:uiPriority w:val="0"/>
    <w:qFormat/>
    <w:pPr>
      <w:ind w:left="720" w:firstLine="480"/>
      <w:jc w:val="left"/>
      <w:spacing w:before="120" w:line="22" w:lineRule="atLeast"/>
    </w:pPr>
    <w:rPr>
      <w:rFonts w:ascii="宋体"/>
      <w:sz w:val="24"/>
      <w:szCs w:val="20"/>
    </w:rPr>
  </w:style>
  <w:style w:type="paragraph" w:styleId="881">
    <w:name w:val="toc 2"/>
    <w:basedOn w:val="844"/>
    <w:next w:val="844"/>
    <w:uiPriority w:val="39"/>
    <w:qFormat/>
    <w:pPr>
      <w:ind w:left="420"/>
      <w:spacing w:line="312" w:lineRule="auto"/>
      <w:tabs>
        <w:tab w:val="right" w:pos="8937" w:leader="dot"/>
      </w:tabs>
    </w:pPr>
  </w:style>
  <w:style w:type="paragraph" w:styleId="882">
    <w:name w:val="toc 9"/>
    <w:basedOn w:val="844"/>
    <w:next w:val="844"/>
    <w:uiPriority w:val="0"/>
    <w:qFormat/>
    <w:pPr>
      <w:ind w:left="3360"/>
    </w:pPr>
  </w:style>
  <w:style w:type="paragraph" w:styleId="883">
    <w:name w:val="HTML Preformatted"/>
    <w:basedOn w:val="844"/>
    <w:link w:val="9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4">
    <w:name w:val="Normal (Web)"/>
    <w:basedOn w:val="844"/>
    <w:uiPriority w:val="99"/>
    <w:unhideWhenUsed/>
    <w:qFormat/>
    <w:pPr>
      <w:jc w:val="left"/>
      <w:spacing w:before="100" w:beforeAutospacing="1" w:after="100" w:afterAutospacing="1"/>
      <w:widowControl/>
    </w:pPr>
    <w:rPr>
      <w:rFonts w:ascii="宋体" w:hAnsi="宋体" w:cs="宋体"/>
      <w:sz w:val="24"/>
    </w:rPr>
  </w:style>
  <w:style w:type="paragraph" w:styleId="885">
    <w:name w:val="index 1"/>
    <w:basedOn w:val="844"/>
    <w:next w:val="844"/>
    <w:uiPriority w:val="0"/>
    <w:qFormat/>
    <w:rPr>
      <w:szCs w:val="20"/>
    </w:rPr>
  </w:style>
  <w:style w:type="paragraph" w:styleId="886">
    <w:name w:val="Title"/>
    <w:basedOn w:val="844"/>
    <w:link w:val="922"/>
    <w:uiPriority w:val="0"/>
    <w:qFormat/>
    <w:pPr>
      <w:jc w:val="center"/>
      <w:outlineLvl w:val="0"/>
    </w:pPr>
    <w:rPr>
      <w:b/>
      <w:sz w:val="32"/>
      <w:szCs w:val="20"/>
    </w:rPr>
  </w:style>
  <w:style w:type="paragraph" w:styleId="887">
    <w:name w:val="annotation subject"/>
    <w:basedOn w:val="860"/>
    <w:next w:val="860"/>
    <w:link w:val="923"/>
    <w:uiPriority w:val="0"/>
    <w:qFormat/>
    <w:rPr>
      <w:b/>
      <w:bCs/>
    </w:rPr>
  </w:style>
  <w:style w:type="paragraph" w:styleId="888">
    <w:name w:val="Body Text First Indent"/>
    <w:basedOn w:val="862"/>
    <w:next w:val="844"/>
    <w:uiPriority w:val="99"/>
    <w:unhideWhenUsed/>
    <w:qFormat/>
    <w:pPr>
      <w:ind w:firstLine="420"/>
    </w:pPr>
  </w:style>
  <w:style w:type="paragraph" w:styleId="889">
    <w:name w:val="Body Text First Indent 2"/>
    <w:basedOn w:val="863"/>
    <w:link w:val="924"/>
    <w:uiPriority w:val="0"/>
    <w:qFormat/>
    <w:pPr>
      <w:ind w:left="420" w:firstLine="420"/>
      <w:spacing w:after="120" w:line="480" w:lineRule="exact"/>
    </w:pPr>
    <w:rPr>
      <w:szCs w:val="20"/>
    </w:rPr>
  </w:style>
  <w:style w:type="table" w:styleId="890">
    <w:name w:val="Table Grid"/>
    <w:basedOn w:val="8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1">
    <w:name w:val="Medium Grid 1 Accent 2"/>
    <w:basedOn w:val="85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2">
    <w:name w:val="Strong"/>
    <w:uiPriority w:val="0"/>
    <w:qFormat/>
    <w:rPr>
      <w:b/>
      <w:bCs/>
    </w:rPr>
  </w:style>
  <w:style w:type="character" w:styleId="893">
    <w:name w:val="page number"/>
    <w:uiPriority w:val="0"/>
    <w:qFormat/>
  </w:style>
  <w:style w:type="character" w:styleId="894">
    <w:name w:val="FollowedHyperlink"/>
    <w:uiPriority w:val="0"/>
    <w:qFormat/>
    <w:rPr>
      <w:color w:val="800080"/>
      <w:u w:val="single"/>
    </w:rPr>
  </w:style>
  <w:style w:type="character" w:styleId="895">
    <w:name w:val="Emphasis"/>
    <w:uiPriority w:val="0"/>
    <w:qFormat/>
    <w:rPr>
      <w:color w:val="cc0033"/>
    </w:rPr>
  </w:style>
  <w:style w:type="character" w:styleId="896">
    <w:name w:val="Hyperlink"/>
    <w:uiPriority w:val="99"/>
    <w:qFormat/>
    <w:rPr>
      <w:color w:val="0000ff"/>
      <w:u w:val="single"/>
    </w:rPr>
  </w:style>
  <w:style w:type="character" w:styleId="897">
    <w:name w:val="annotation reference"/>
    <w:uiPriority w:val="99"/>
    <w:qFormat/>
    <w:rPr>
      <w:sz w:val="21"/>
      <w:szCs w:val="21"/>
    </w:rPr>
  </w:style>
  <w:style w:type="character" w:styleId="898">
    <w:name w:val="HTML Cite"/>
    <w:uiPriority w:val="0"/>
    <w:qFormat/>
    <w:rPr>
      <w:i/>
      <w:iCs/>
    </w:rPr>
  </w:style>
  <w:style w:type="character" w:styleId="899" w:customStyle="1">
    <w:name w:val="标题 1 字符"/>
    <w:link w:val="845"/>
    <w:uiPriority w:val="0"/>
    <w:qFormat/>
    <w:rPr>
      <w:rFonts w:ascii="宋体"/>
      <w:b/>
      <w:sz w:val="32"/>
    </w:rPr>
  </w:style>
  <w:style w:type="character" w:styleId="900" w:customStyle="1">
    <w:name w:val="标题 2 字符"/>
    <w:link w:val="846"/>
    <w:uiPriority w:val="0"/>
    <w:qFormat/>
    <w:rPr>
      <w:rFonts w:ascii="Arial" w:hAnsi="Arial" w:eastAsia="黑体"/>
      <w:b/>
      <w:sz w:val="30"/>
      <w:lang w:val="en-US" w:eastAsia="zh-CN" w:bidi="ar-SA"/>
    </w:rPr>
  </w:style>
  <w:style w:type="character" w:styleId="901" w:customStyle="1">
    <w:name w:val="正文缩进 字符"/>
    <w:link w:val="856"/>
    <w:uiPriority w:val="0"/>
    <w:qFormat/>
    <w:rPr>
      <w:rFonts w:ascii="宋体" w:eastAsia="宋体"/>
      <w:sz w:val="24"/>
      <w:szCs w:val="24"/>
      <w:lang w:val="en-US" w:eastAsia="zh-CN" w:bidi="ar-SA"/>
    </w:rPr>
  </w:style>
  <w:style w:type="character" w:styleId="902" w:customStyle="1">
    <w:name w:val="标题 3 字符"/>
    <w:link w:val="847"/>
    <w:uiPriority w:val="0"/>
    <w:qFormat/>
    <w:rPr>
      <w:rFonts w:ascii="宋体" w:eastAsia="宋体"/>
      <w:b/>
      <w:sz w:val="24"/>
      <w:u w:val="single"/>
      <w:lang w:val="en-US" w:eastAsia="zh-CN" w:bidi="ar-SA"/>
    </w:rPr>
  </w:style>
  <w:style w:type="character" w:styleId="903" w:customStyle="1">
    <w:name w:val="标题 4 字符"/>
    <w:link w:val="848"/>
    <w:uiPriority w:val="0"/>
    <w:qFormat/>
    <w:rPr>
      <w:rFonts w:ascii="Arial" w:hAnsi="Arial" w:eastAsia="黑体"/>
      <w:b/>
      <w:sz w:val="28"/>
    </w:rPr>
  </w:style>
  <w:style w:type="character" w:styleId="904" w:customStyle="1">
    <w:name w:val="标题 5 字符"/>
    <w:link w:val="849"/>
    <w:uiPriority w:val="0"/>
    <w:qFormat/>
    <w:rPr>
      <w:b/>
      <w:sz w:val="28"/>
    </w:rPr>
  </w:style>
  <w:style w:type="character" w:styleId="905" w:customStyle="1">
    <w:name w:val="标题 6 字符"/>
    <w:link w:val="850"/>
    <w:uiPriority w:val="0"/>
    <w:qFormat/>
    <w:rPr>
      <w:rFonts w:ascii="Arial" w:hAnsi="Arial" w:eastAsia="黑体"/>
      <w:b/>
      <w:sz w:val="24"/>
    </w:rPr>
  </w:style>
  <w:style w:type="character" w:styleId="906" w:customStyle="1">
    <w:name w:val="标题 7 字符"/>
    <w:link w:val="851"/>
    <w:uiPriority w:val="0"/>
    <w:qFormat/>
    <w:rPr>
      <w:b/>
      <w:sz w:val="24"/>
    </w:rPr>
  </w:style>
  <w:style w:type="character" w:styleId="907" w:customStyle="1">
    <w:name w:val="标题 8 字符"/>
    <w:link w:val="852"/>
    <w:uiPriority w:val="0"/>
    <w:qFormat/>
    <w:rPr>
      <w:rFonts w:ascii="Arial" w:hAnsi="Arial" w:eastAsia="黑体"/>
      <w:sz w:val="24"/>
    </w:rPr>
  </w:style>
  <w:style w:type="character" w:styleId="908" w:customStyle="1">
    <w:name w:val="标题 9 字符"/>
    <w:link w:val="853"/>
    <w:uiPriority w:val="0"/>
    <w:qFormat/>
    <w:rPr>
      <w:rFonts w:ascii="Arial" w:hAnsi="Arial" w:eastAsia="黑体"/>
      <w:sz w:val="21"/>
    </w:rPr>
  </w:style>
  <w:style w:type="character" w:styleId="909" w:customStyle="1">
    <w:name w:val="文档结构图 字符"/>
    <w:link w:val="859"/>
    <w:uiPriority w:val="0"/>
    <w:qFormat/>
    <w:rPr>
      <w:sz w:val="21"/>
      <w:szCs w:val="24"/>
      <w:shd w:val="clear" w:color="auto" w:fill="000080"/>
    </w:rPr>
  </w:style>
  <w:style w:type="character" w:styleId="910" w:customStyle="1">
    <w:name w:val="批注文字 字符1"/>
    <w:link w:val="860"/>
    <w:uiPriority w:val="99"/>
    <w:qFormat/>
    <w:rPr>
      <w:sz w:val="21"/>
      <w:szCs w:val="24"/>
    </w:rPr>
  </w:style>
  <w:style w:type="character" w:styleId="911" w:customStyle="1">
    <w:name w:val="正文文本 3 字符"/>
    <w:link w:val="861"/>
    <w:uiPriority w:val="0"/>
    <w:qFormat/>
    <w:rPr>
      <w:sz w:val="16"/>
      <w:szCs w:val="16"/>
    </w:rPr>
  </w:style>
  <w:style w:type="character" w:styleId="912" w:customStyle="1">
    <w:name w:val="正文文本 字符"/>
    <w:link w:val="862"/>
    <w:uiPriority w:val="0"/>
    <w:qFormat/>
    <w:rPr>
      <w:rFonts w:ascii="宋体" w:hAnsi="宋体"/>
      <w:sz w:val="24"/>
      <w:szCs w:val="24"/>
    </w:rPr>
  </w:style>
  <w:style w:type="character" w:styleId="913" w:customStyle="1">
    <w:name w:val="正文文本缩进 字符"/>
    <w:link w:val="863"/>
    <w:uiPriority w:val="0"/>
    <w:qFormat/>
    <w:rPr>
      <w:rFonts w:eastAsia="宋体"/>
      <w:sz w:val="24"/>
      <w:szCs w:val="24"/>
      <w:lang w:val="en-US" w:eastAsia="zh-CN" w:bidi="ar-SA"/>
    </w:rPr>
  </w:style>
  <w:style w:type="character" w:styleId="914" w:customStyle="1">
    <w:name w:val="纯文本 字符2"/>
    <w:link w:val="869"/>
    <w:uiPriority w:val="0"/>
    <w:qFormat/>
    <w:rPr>
      <w:rFonts w:hint="eastAsia" w:ascii="宋体" w:hAnsi="Courier New" w:eastAsia="宋体" w:cs="宋体"/>
      <w:sz w:val="21"/>
    </w:rPr>
  </w:style>
  <w:style w:type="character" w:styleId="915" w:customStyle="1">
    <w:name w:val="日期 字符"/>
    <w:link w:val="871"/>
    <w:uiPriority w:val="0"/>
    <w:qFormat/>
    <w:rPr>
      <w:rFonts w:ascii="仿宋_GB2312" w:hAnsi="宋体" w:eastAsia="仿宋_GB2312"/>
      <w:color w:val="000000"/>
      <w:sz w:val="24"/>
      <w:szCs w:val="24"/>
    </w:rPr>
  </w:style>
  <w:style w:type="character" w:styleId="916" w:customStyle="1">
    <w:name w:val="正文文本缩进 2 字符"/>
    <w:link w:val="872"/>
    <w:uiPriority w:val="0"/>
    <w:qFormat/>
    <w:rPr>
      <w:rFonts w:ascii="仿宋_GB2312" w:eastAsia="仿宋_GB2312"/>
      <w:sz w:val="24"/>
      <w:szCs w:val="24"/>
    </w:rPr>
  </w:style>
  <w:style w:type="character" w:styleId="917" w:customStyle="1">
    <w:name w:val="批注框文本 字符"/>
    <w:link w:val="873"/>
    <w:uiPriority w:val="0"/>
    <w:qFormat/>
    <w:rPr>
      <w:sz w:val="18"/>
      <w:szCs w:val="18"/>
    </w:rPr>
  </w:style>
  <w:style w:type="character" w:styleId="918" w:customStyle="1">
    <w:name w:val="页脚 字符"/>
    <w:link w:val="874"/>
    <w:uiPriority w:val="99"/>
    <w:qFormat/>
    <w:rPr>
      <w:rFonts w:ascii="宋体" w:eastAsia="宋体"/>
      <w:sz w:val="18"/>
      <w:lang w:val="en-US" w:eastAsia="zh-CN" w:bidi="ar-SA"/>
    </w:rPr>
  </w:style>
  <w:style w:type="character" w:styleId="919" w:customStyle="1">
    <w:name w:val="页眉 字符"/>
    <w:link w:val="876"/>
    <w:uiPriority w:val="0"/>
    <w:qFormat/>
    <w:rPr>
      <w:rFonts w:eastAsia="宋体"/>
      <w:sz w:val="18"/>
      <w:szCs w:val="18"/>
      <w:lang w:val="en-US" w:eastAsia="zh-CN" w:bidi="ar-SA"/>
    </w:rPr>
  </w:style>
  <w:style w:type="character" w:styleId="920" w:customStyle="1">
    <w:name w:val="正文文本缩进 3 字符"/>
    <w:link w:val="880"/>
    <w:uiPriority w:val="0"/>
    <w:qFormat/>
    <w:rPr>
      <w:rFonts w:ascii="宋体"/>
      <w:sz w:val="24"/>
    </w:rPr>
  </w:style>
  <w:style w:type="character" w:styleId="921" w:customStyle="1">
    <w:name w:val="HTML 预设格式 字符"/>
    <w:link w:val="883"/>
    <w:uiPriority w:val="0"/>
    <w:qFormat/>
    <w:rPr>
      <w:rFonts w:ascii="宋体" w:hAnsi="宋体" w:cs="宋体"/>
      <w:sz w:val="24"/>
      <w:szCs w:val="24"/>
    </w:rPr>
  </w:style>
  <w:style w:type="character" w:styleId="922" w:customStyle="1">
    <w:name w:val="标题 字符"/>
    <w:link w:val="886"/>
    <w:uiPriority w:val="0"/>
    <w:qFormat/>
    <w:rPr>
      <w:b/>
      <w:sz w:val="32"/>
    </w:rPr>
  </w:style>
  <w:style w:type="character" w:styleId="923" w:customStyle="1">
    <w:name w:val="批注主题 字符"/>
    <w:link w:val="887"/>
    <w:uiPriority w:val="0"/>
    <w:qFormat/>
    <w:rPr>
      <w:rFonts w:ascii="Times New Roman" w:hAnsi="Times New Roman" w:eastAsia="宋体" w:cs="Times New Roman"/>
      <w:b/>
      <w:bCs/>
      <w:sz w:val="21"/>
      <w:szCs w:val="24"/>
      <w:lang w:val="en-US" w:eastAsia="zh-CN" w:bidi="ar-SA"/>
    </w:rPr>
  </w:style>
  <w:style w:type="character" w:styleId="924" w:customStyle="1">
    <w:name w:val="正文文本首行缩进 2 字符"/>
    <w:link w:val="889"/>
    <w:uiPriority w:val="0"/>
    <w:qFormat/>
    <w:rPr>
      <w:rFonts w:eastAsia="宋体"/>
      <w:sz w:val="24"/>
      <w:szCs w:val="24"/>
      <w:lang w:val="en-US" w:eastAsia="zh-CN" w:bidi="ar-SA"/>
    </w:rPr>
  </w:style>
  <w:style w:type="character" w:styleId="925" w:customStyle="1">
    <w:name w:val="页码1"/>
    <w:uiPriority w:val="0"/>
    <w:qFormat/>
    <w:rPr>
      <w:sz w:val="21"/>
      <w:szCs w:val="24"/>
      <w:lang w:val="en-US" w:eastAsia="zh-CN" w:bidi="ar-SA"/>
    </w:rPr>
  </w:style>
  <w:style w:type="paragraph" w:styleId="926" w:customStyle="1">
    <w:name w:val="首行缩进"/>
    <w:basedOn w:val="844"/>
    <w:uiPriority w:val="0"/>
    <w:qFormat/>
    <w:pPr>
      <w:ind w:firstLine="420"/>
      <w:spacing w:line="360" w:lineRule="auto"/>
    </w:pPr>
    <w:rPr>
      <w:sz w:val="20"/>
    </w:rPr>
  </w:style>
  <w:style w:type="paragraph" w:styleId="927"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28" w:customStyle="1">
    <w:name w:val="批注文字 字符"/>
    <w:uiPriority w:val="99"/>
    <w:qFormat/>
    <w:rPr>
      <w:rFonts w:ascii="Times New Roman" w:hAnsi="Times New Roman" w:eastAsia="宋体" w:cs="Times New Roman"/>
      <w:sz w:val="24"/>
      <w:lang w:val="en-US" w:eastAsia="zh-CN" w:bidi="ar-SA"/>
    </w:rPr>
  </w:style>
  <w:style w:type="character" w:styleId="929" w:customStyle="1">
    <w:name w:val="c21"/>
    <w:uiPriority w:val="0"/>
    <w:qFormat/>
    <w:rPr>
      <w:rFonts w:hint="default" w:ascii="ˎ̥" w:hAnsi="ˎ̥"/>
      <w:color w:val="000000"/>
      <w:sz w:val="20"/>
      <w:szCs w:val="20"/>
      <w:u w:val="none"/>
    </w:rPr>
  </w:style>
  <w:style w:type="character" w:styleId="930" w:customStyle="1">
    <w:name w:val="title4"/>
    <w:uiPriority w:val="0"/>
    <w:qFormat/>
    <w:rPr>
      <w:b/>
      <w:bCs/>
      <w:color w:val="1d87b3"/>
      <w:sz w:val="15"/>
      <w:szCs w:val="15"/>
    </w:rPr>
  </w:style>
  <w:style w:type="character" w:styleId="931" w:customStyle="1">
    <w:name w:val="标题 2 Char Char"/>
    <w:uiPriority w:val="0"/>
    <w:qFormat/>
    <w:rPr>
      <w:rFonts w:ascii="Arial" w:hAnsi="Arial" w:eastAsia="黑体"/>
      <w:b/>
      <w:bCs/>
      <w:sz w:val="32"/>
      <w:szCs w:val="32"/>
      <w:lang w:val="en-US" w:eastAsia="zh-CN" w:bidi="ar-SA"/>
    </w:rPr>
  </w:style>
  <w:style w:type="character" w:styleId="932" w:customStyle="1">
    <w:name w:val="black1"/>
    <w:uiPriority w:val="0"/>
    <w:qFormat/>
    <w:rPr>
      <w:color w:val="000000"/>
    </w:rPr>
  </w:style>
  <w:style w:type="character" w:styleId="933" w:customStyle="1">
    <w:name w:val="street-address"/>
    <w:uiPriority w:val="0"/>
    <w:qFormat/>
  </w:style>
  <w:style w:type="character" w:styleId="934" w:customStyle="1">
    <w:name w:val="locality"/>
    <w:uiPriority w:val="0"/>
    <w:qFormat/>
  </w:style>
  <w:style w:type="character" w:styleId="935" w:customStyle="1">
    <w:name w:val="正文文本缩进 Char1"/>
    <w:link w:val="936"/>
    <w:uiPriority w:val="0"/>
    <w:qFormat/>
    <w:rPr>
      <w:rFonts w:ascii="宋体" w:hAnsi="宋体" w:eastAsia="宋体"/>
      <w:sz w:val="24"/>
      <w:szCs w:val="24"/>
      <w:lang w:bidi="ar-SA"/>
    </w:rPr>
  </w:style>
  <w:style w:type="paragraph" w:styleId="936" w:customStyle="1">
    <w:name w:val="正文文本缩进1"/>
    <w:basedOn w:val="844"/>
    <w:link w:val="935"/>
    <w:uiPriority w:val="0"/>
    <w:qFormat/>
    <w:pPr>
      <w:ind w:firstLine="480"/>
      <w:spacing w:line="480" w:lineRule="exact"/>
    </w:pPr>
    <w:rPr>
      <w:rFonts w:ascii="宋体" w:hAnsi="宋体"/>
      <w:sz w:val="24"/>
    </w:rPr>
  </w:style>
  <w:style w:type="character" w:styleId="937" w:customStyle="1">
    <w:name w:val="Char Char11"/>
    <w:uiPriority w:val="0"/>
    <w:qFormat/>
    <w:rPr>
      <w:rFonts w:ascii="宋体" w:eastAsia="宋体"/>
      <w:b/>
      <w:sz w:val="24"/>
      <w:u w:val="single"/>
      <w:lang w:val="en-US" w:eastAsia="zh-CN" w:bidi="ar-SA"/>
    </w:rPr>
  </w:style>
  <w:style w:type="character" w:styleId="938" w:customStyle="1">
    <w:name w:val="txt"/>
    <w:uiPriority w:val="0"/>
    <w:qFormat/>
  </w:style>
  <w:style w:type="character" w:styleId="939" w:customStyle="1">
    <w:name w:val="正文缩进 Char Char"/>
    <w:link w:val="940"/>
    <w:uiPriority w:val="0"/>
    <w:qFormat/>
    <w:rPr>
      <w:rFonts w:ascii="宋体" w:eastAsia="宋体"/>
      <w:color w:val="000000"/>
      <w:sz w:val="28"/>
      <w:lang w:bidi="ar-SA"/>
    </w:rPr>
  </w:style>
  <w:style w:type="paragraph" w:styleId="940" w:customStyle="1">
    <w:name w:val="正文缩进1"/>
    <w:basedOn w:val="844"/>
    <w:link w:val="939"/>
    <w:uiPriority w:val="0"/>
    <w:qFormat/>
    <w:pPr>
      <w:ind w:firstLine="567"/>
      <w:spacing w:line="480" w:lineRule="exact"/>
      <w:widowControl/>
    </w:pPr>
    <w:rPr>
      <w:rFonts w:ascii="宋体"/>
      <w:color w:val="000000"/>
      <w:sz w:val="28"/>
      <w:szCs w:val="20"/>
    </w:rPr>
  </w:style>
  <w:style w:type="character" w:styleId="941" w:customStyle="1">
    <w:name w:val="普通文字1 Char1"/>
    <w:uiPriority w:val="0"/>
    <w:qFormat/>
    <w:rPr>
      <w:rFonts w:ascii="宋体" w:hAnsi="Courier New" w:eastAsia="宋体"/>
      <w:sz w:val="21"/>
      <w:lang w:val="en-US" w:eastAsia="zh-CN" w:bidi="ar-SA"/>
    </w:rPr>
  </w:style>
  <w:style w:type="character" w:styleId="942" w:customStyle="1">
    <w:name w:val="chanpin1"/>
    <w:uiPriority w:val="0"/>
    <w:qFormat/>
    <w:rPr>
      <w:rFonts w:hint="default" w:ascii="ˎ̥" w:hAnsi="ˎ̥"/>
      <w:color w:val="000000"/>
      <w:sz w:val="20"/>
      <w:szCs w:val="20"/>
      <w:u w:val="none"/>
    </w:rPr>
  </w:style>
  <w:style w:type="character" w:styleId="943" w:customStyle="1">
    <w:name w:val="列表段落 字符"/>
    <w:link w:val="944"/>
    <w:uiPriority w:val="34"/>
    <w:qFormat/>
    <w:rPr>
      <w:rFonts w:ascii="Calibri" w:hAnsi="Calibri" w:eastAsia="宋体"/>
      <w:sz w:val="21"/>
      <w:szCs w:val="22"/>
      <w:lang w:val="en-US" w:eastAsia="zh-CN" w:bidi="ar-SA"/>
    </w:rPr>
  </w:style>
  <w:style w:type="paragraph" w:styleId="944">
    <w:name w:val="List Paragraph"/>
    <w:basedOn w:val="844"/>
    <w:link w:val="943"/>
    <w:uiPriority w:val="34"/>
    <w:qFormat/>
    <w:pPr>
      <w:ind w:firstLine="420"/>
    </w:pPr>
    <w:rPr>
      <w:rFonts w:ascii="Calibri" w:hAnsi="Calibri"/>
      <w:szCs w:val="22"/>
    </w:rPr>
  </w:style>
  <w:style w:type="character" w:styleId="945" w:customStyle="1">
    <w:name w:val="标题 3 Char Char"/>
    <w:uiPriority w:val="0"/>
    <w:qFormat/>
    <w:rPr>
      <w:rFonts w:eastAsia="宋体"/>
      <w:b/>
      <w:bCs/>
      <w:sz w:val="32"/>
      <w:szCs w:val="32"/>
      <w:lang w:val="en-US" w:eastAsia="zh-CN" w:bidi="ar-SA"/>
    </w:rPr>
  </w:style>
  <w:style w:type="character" w:styleId="946" w:customStyle="1">
    <w:name w:val="段1 Char"/>
    <w:uiPriority w:val="0"/>
    <w:qFormat/>
    <w:rPr>
      <w:rFonts w:ascii="宋体" w:eastAsia="宋体"/>
      <w:sz w:val="24"/>
      <w:lang w:val="en-US" w:eastAsia="zh-CN" w:bidi="ar-SA"/>
    </w:rPr>
  </w:style>
  <w:style w:type="character" w:styleId="947" w:customStyle="1">
    <w:name w:val="chanpin拷贝"/>
    <w:uiPriority w:val="0"/>
    <w:qFormat/>
  </w:style>
  <w:style w:type="character" w:styleId="948" w:customStyle="1">
    <w:name w:val="纯文本 Char1"/>
    <w:uiPriority w:val="0"/>
    <w:qFormat/>
    <w:rPr>
      <w:rFonts w:ascii="宋体" w:hAnsi="Courier New" w:eastAsia="宋体"/>
      <w:sz w:val="21"/>
      <w:lang w:val="en-US" w:eastAsia="zh-CN" w:bidi="ar-SA"/>
    </w:rPr>
  </w:style>
  <w:style w:type="character" w:styleId="949" w:customStyle="1">
    <w:name w:val="apple-style-span"/>
    <w:uiPriority w:val="0"/>
    <w:qFormat/>
    <w:rPr>
      <w:rFonts w:cs="Times New Roman"/>
    </w:rPr>
  </w:style>
  <w:style w:type="paragraph" w:styleId="950" w:customStyle="1">
    <w:name w:val="二级条标题"/>
    <w:basedOn w:val="951"/>
    <w:next w:val="84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51" w:customStyle="1">
    <w:name w:val="一级条标题"/>
    <w:basedOn w:val="952"/>
    <w:next w:val="844"/>
    <w:uiPriority w:val="0"/>
    <w:qFormat/>
    <w:pPr>
      <w:numPr>
        <w:ilvl w:val="1"/>
      </w:numPr>
      <w:ind w:left="0" w:hanging="840"/>
      <w:tabs>
        <w:tab w:val="left" w:pos="360" w:leader="none"/>
        <w:tab w:val="left" w:pos="840" w:leader="none"/>
      </w:tabs>
      <w:outlineLvl w:val="1"/>
    </w:pPr>
  </w:style>
  <w:style w:type="paragraph" w:styleId="952" w:customStyle="1">
    <w:name w:val="章标题"/>
    <w:next w:val="84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53" w:customStyle="1">
    <w:name w:val="font7"/>
    <w:basedOn w:val="844"/>
    <w:uiPriority w:val="0"/>
    <w:qFormat/>
    <w:pPr>
      <w:jc w:val="left"/>
      <w:spacing w:before="100" w:beforeAutospacing="1" w:after="100" w:afterAutospacing="1"/>
      <w:widowControl/>
    </w:pPr>
    <w:rPr>
      <w:rFonts w:eastAsia="Arial Unicode MS"/>
      <w:b/>
      <w:bCs/>
      <w:color w:val="000000"/>
      <w:sz w:val="20"/>
      <w:szCs w:val="20"/>
    </w:rPr>
  </w:style>
  <w:style w:type="paragraph" w:styleId="954" w:customStyle="1">
    <w:name w:val="字元 字元"/>
    <w:basedOn w:val="844"/>
    <w:uiPriority w:val="0"/>
    <w:qFormat/>
    <w:rPr>
      <w:rFonts w:ascii="Tahoma" w:hAnsi="Tahoma"/>
      <w:sz w:val="24"/>
      <w:szCs w:val="20"/>
    </w:rPr>
  </w:style>
  <w:style w:type="paragraph" w:styleId="955" w:customStyle="1">
    <w:name w:val="Char3 Char Char Char"/>
    <w:basedOn w:val="844"/>
    <w:uiPriority w:val="0"/>
    <w:qFormat/>
    <w:rPr>
      <w:rFonts w:ascii="Tahoma" w:hAnsi="Tahoma"/>
      <w:sz w:val="24"/>
      <w:szCs w:val="20"/>
    </w:rPr>
  </w:style>
  <w:style w:type="paragraph" w:styleId="956" w:customStyle="1">
    <w:name w:val="font6"/>
    <w:basedOn w:val="844"/>
    <w:uiPriority w:val="0"/>
    <w:qFormat/>
    <w:pPr>
      <w:jc w:val="left"/>
      <w:spacing w:before="100" w:beforeAutospacing="1" w:after="100" w:afterAutospacing="1"/>
      <w:widowControl/>
    </w:pPr>
    <w:rPr>
      <w:rFonts w:ascii="宋体" w:hAnsi="宋体" w:cs="宋体"/>
      <w:sz w:val="20"/>
      <w:szCs w:val="20"/>
    </w:rPr>
  </w:style>
  <w:style w:type="paragraph" w:styleId="957" w:customStyle="1">
    <w:name w:val="项目编号2"/>
    <w:basedOn w:val="958"/>
    <w:uiPriority w:val="0"/>
    <w:qFormat/>
    <w:pPr>
      <w:numPr>
        <w:numId w:val="2"/>
      </w:numPr>
    </w:pPr>
  </w:style>
  <w:style w:type="paragraph" w:styleId="958" w:customStyle="1">
    <w:name w:val="项目编号1"/>
    <w:basedOn w:val="844"/>
    <w:uiPriority w:val="0"/>
    <w:qFormat/>
    <w:pPr>
      <w:numPr>
        <w:ilvl w:val="0"/>
        <w:numId w:val="3"/>
      </w:numPr>
      <w:spacing w:before="100" w:beforeAutospacing="1" w:after="100" w:afterAutospacing="1" w:line="360" w:lineRule="auto"/>
    </w:pPr>
    <w:rPr>
      <w:sz w:val="24"/>
    </w:rPr>
  </w:style>
  <w:style w:type="paragraph" w:styleId="959" w:customStyle="1">
    <w:name w:val="图中文字"/>
    <w:basedOn w:val="844"/>
    <w:uiPriority w:val="0"/>
    <w:qFormat/>
    <w:pPr>
      <w:jc w:val="center"/>
      <w:spacing w:line="0" w:lineRule="atLeast"/>
    </w:pPr>
    <w:rPr>
      <w:sz w:val="24"/>
      <w:szCs w:val="20"/>
    </w:rPr>
  </w:style>
  <w:style w:type="paragraph" w:styleId="960" w:customStyle="1">
    <w:name w:val="xl46"/>
    <w:basedOn w:val="84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61" w:customStyle="1">
    <w:name w:val="xl25"/>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62" w:customStyle="1">
    <w:name w:val="Char2"/>
    <w:basedOn w:val="844"/>
    <w:uiPriority w:val="0"/>
    <w:qFormat/>
    <w:rPr>
      <w:rFonts w:ascii="Tahoma" w:hAnsi="Tahoma"/>
      <w:sz w:val="24"/>
      <w:szCs w:val="20"/>
    </w:rPr>
  </w:style>
  <w:style w:type="paragraph" w:styleId="963" w:customStyle="1">
    <w:name w:val="xl35"/>
    <w:basedOn w:val="8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4" w:customStyle="1">
    <w:name w:val="xl4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65" w:customStyle="1">
    <w:name w:val="xl52"/>
    <w:basedOn w:val="8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66" w:customStyle="1">
    <w:name w:val="xl43"/>
    <w:basedOn w:val="8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67" w:customStyle="1">
    <w:name w:val="background1"/>
    <w:basedOn w:val="844"/>
    <w:uiPriority w:val="0"/>
    <w:qFormat/>
    <w:pPr>
      <w:jc w:val="left"/>
      <w:spacing w:before="100" w:beforeAutospacing="1" w:after="100" w:afterAutospacing="1"/>
      <w:widowControl/>
    </w:pPr>
    <w:rPr>
      <w:rFonts w:ascii="宋体" w:hAnsi="宋体" w:cs="宋体"/>
      <w:sz w:val="24"/>
    </w:rPr>
  </w:style>
  <w:style w:type="paragraph" w:styleId="968" w:customStyle="1">
    <w:name w:val="Char Char Char Char Char Char Char"/>
    <w:basedOn w:val="844"/>
    <w:uiPriority w:val="0"/>
    <w:qFormat/>
    <w:pPr>
      <w:ind w:firstLine="200"/>
      <w:spacing w:line="360" w:lineRule="auto"/>
    </w:pPr>
    <w:rPr>
      <w:rFonts w:eastAsia="仿宋_GB2312"/>
      <w:sz w:val="24"/>
    </w:rPr>
  </w:style>
  <w:style w:type="paragraph" w:styleId="969" w:customStyle="1">
    <w:name w:val="xl3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70" w:customStyle="1">
    <w:name w:val="xl36"/>
    <w:basedOn w:val="84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1" w:customStyle="1">
    <w:name w:val="正文 + 宋体"/>
    <w:basedOn w:val="844"/>
    <w:uiPriority w:val="0"/>
    <w:qFormat/>
    <w:pPr>
      <w:ind w:left="360" w:hanging="360"/>
      <w:jc w:val="left"/>
      <w:widowControl/>
    </w:pPr>
    <w:rPr>
      <w:rFonts w:ascii="宋体" w:hAnsi="宋体" w:cs="宋体"/>
      <w:b/>
      <w:bCs/>
      <w:color w:val="000000"/>
      <w:sz w:val="18"/>
      <w:szCs w:val="18"/>
    </w:rPr>
  </w:style>
  <w:style w:type="paragraph" w:styleId="972" w:customStyle="1">
    <w:name w:val="正文列项_数字"/>
    <w:basedOn w:val="84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973" w:customStyle="1">
    <w:name w:val="xl3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74" w:customStyle="1">
    <w:name w:val="xl37"/>
    <w:basedOn w:val="8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5" w:customStyle="1">
    <w:name w:val="xl32"/>
    <w:basedOn w:val="8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76" w:customStyle="1">
    <w:name w:val="font8"/>
    <w:basedOn w:val="844"/>
    <w:uiPriority w:val="0"/>
    <w:qFormat/>
    <w:pPr>
      <w:jc w:val="left"/>
      <w:spacing w:before="100" w:beforeAutospacing="1" w:after="100" w:afterAutospacing="1"/>
      <w:widowControl/>
    </w:pPr>
    <w:rPr>
      <w:sz w:val="36"/>
      <w:szCs w:val="36"/>
    </w:rPr>
  </w:style>
  <w:style w:type="paragraph" w:styleId="977" w:customStyle="1">
    <w:name w:val="Char"/>
    <w:basedOn w:val="844"/>
    <w:uiPriority w:val="0"/>
    <w:qFormat/>
    <w:pPr>
      <w:tabs>
        <w:tab w:val="left" w:pos="360" w:leader="none"/>
      </w:tabs>
    </w:pPr>
    <w:rPr>
      <w:sz w:val="24"/>
    </w:rPr>
  </w:style>
  <w:style w:type="paragraph" w:styleId="978" w:customStyle="1">
    <w:name w:val="Char Char Char Char Char Char Char Char Char Char Char Char Char Char Char Char"/>
    <w:basedOn w:val="844"/>
    <w:uiPriority w:val="0"/>
    <w:qFormat/>
    <w:pPr>
      <w:jc w:val="center"/>
      <w:spacing w:after="160" w:line="240" w:lineRule="exact"/>
      <w:widowControl/>
    </w:pPr>
    <w:rPr>
      <w:rFonts w:ascii="宋体" w:hAnsi="宋体"/>
      <w:b/>
      <w:sz w:val="30"/>
      <w:szCs w:val="30"/>
      <w:lang w:eastAsia="en-US"/>
    </w:rPr>
  </w:style>
  <w:style w:type="paragraph" w:styleId="979" w:customStyle="1">
    <w:name w:val="xl45"/>
    <w:basedOn w:val="8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80" w:customStyle="1">
    <w:name w:val="Char Char1 Char Char Char Char Char Char"/>
    <w:basedOn w:val="844"/>
    <w:uiPriority w:val="0"/>
    <w:qFormat/>
    <w:pPr>
      <w:jc w:val="left"/>
      <w:spacing w:after="160" w:line="240" w:lineRule="exact"/>
      <w:widowControl/>
    </w:pPr>
    <w:rPr>
      <w:rFonts w:ascii="Verdana" w:hAnsi="Verdana" w:eastAsia="仿宋_GB2312"/>
      <w:sz w:val="24"/>
      <w:szCs w:val="20"/>
      <w:lang w:eastAsia="en-US"/>
    </w:rPr>
  </w:style>
  <w:style w:type="paragraph" w:styleId="981" w:customStyle="1">
    <w:name w:val="Char Char1"/>
    <w:basedOn w:val="859"/>
    <w:uiPriority w:val="0"/>
    <w:qFormat/>
    <w:rPr>
      <w:rFonts w:ascii="Tahoma" w:hAnsi="Tahoma"/>
      <w:sz w:val="24"/>
    </w:rPr>
  </w:style>
  <w:style w:type="paragraph" w:styleId="982" w:customStyle="1">
    <w:name w:val="xl26"/>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83" w:customStyle="1">
    <w:name w:val="xl3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4" w:customStyle="1">
    <w:name w:val="xl41"/>
    <w:basedOn w:val="8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85" w:customStyle="1">
    <w:name w:val="样式 宋体 五号 行距: 单倍行距"/>
    <w:basedOn w:val="844"/>
    <w:uiPriority w:val="0"/>
    <w:qFormat/>
    <w:pPr>
      <w:jc w:val="left"/>
    </w:pPr>
    <w:rPr>
      <w:rFonts w:ascii="宋体" w:hAnsi="宋体"/>
      <w:szCs w:val="20"/>
    </w:rPr>
  </w:style>
  <w:style w:type="paragraph" w:styleId="986" w:customStyle="1">
    <w:name w:val="Char1 Char Char Char1"/>
    <w:basedOn w:val="844"/>
    <w:uiPriority w:val="0"/>
    <w:qFormat/>
    <w:rPr>
      <w:rFonts w:ascii="Tahoma" w:hAnsi="Tahoma" w:cs="仿宋_GB2312"/>
      <w:sz w:val="24"/>
      <w:szCs w:val="28"/>
    </w:rPr>
  </w:style>
  <w:style w:type="paragraph" w:styleId="987" w:customStyle="1">
    <w:name w:val="四级条标题"/>
    <w:basedOn w:val="988"/>
    <w:next w:val="844"/>
    <w:uiPriority w:val="0"/>
    <w:qFormat/>
    <w:pPr>
      <w:numPr>
        <w:ilvl w:val="4"/>
      </w:numPr>
      <w:ind w:left="0" w:hanging="840"/>
      <w:tabs>
        <w:tab w:val="left" w:pos="360" w:leader="none"/>
        <w:tab w:val="left" w:pos="840" w:leader="none"/>
      </w:tabs>
      <w:outlineLvl w:val="4"/>
    </w:pPr>
  </w:style>
  <w:style w:type="paragraph" w:styleId="988" w:customStyle="1">
    <w:name w:val="三级条标题"/>
    <w:basedOn w:val="950"/>
    <w:next w:val="844"/>
    <w:uiPriority w:val="0"/>
    <w:qFormat/>
    <w:pPr>
      <w:numPr>
        <w:ilvl w:val="3"/>
        <w:numId w:val="1"/>
      </w:numPr>
      <w:ind w:left="0" w:hanging="840"/>
      <w:outlineLvl w:val="3"/>
    </w:pPr>
  </w:style>
  <w:style w:type="paragraph" w:styleId="98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990" w:customStyle="1">
    <w:name w:val="样式 标题 2 + 宋体 五号 行距: 单倍行距"/>
    <w:basedOn w:val="846"/>
    <w:uiPriority w:val="0"/>
    <w:qFormat/>
    <w:pPr>
      <w:numPr>
        <w:ilvl w:val="1"/>
        <w:numId w:val="4"/>
      </w:numPr>
      <w:jc w:val="left"/>
      <w:spacing w:before="260" w:after="260" w:line="240" w:lineRule="auto"/>
    </w:pPr>
    <w:rPr>
      <w:rFonts w:ascii="宋体" w:hAnsi="宋体" w:eastAsia="宋体"/>
      <w:bCs/>
      <w:sz w:val="21"/>
    </w:rPr>
  </w:style>
  <w:style w:type="paragraph" w:styleId="991" w:customStyle="1">
    <w:name w:val="List Paragraph1"/>
    <w:basedOn w:val="844"/>
    <w:uiPriority w:val="0"/>
    <w:qFormat/>
    <w:pPr>
      <w:ind w:firstLine="420"/>
    </w:pPr>
    <w:rPr>
      <w:rFonts w:ascii="Calibri" w:hAnsi="Calibri"/>
      <w:szCs w:val="22"/>
    </w:rPr>
  </w:style>
  <w:style w:type="paragraph" w:styleId="992" w:customStyle="1">
    <w:name w:val="项目符号1"/>
    <w:basedOn w:val="993"/>
    <w:uiPriority w:val="0"/>
    <w:qFormat/>
    <w:pPr>
      <w:ind w:left="-25" w:firstLine="0"/>
    </w:pPr>
  </w:style>
  <w:style w:type="paragraph" w:styleId="993" w:customStyle="1">
    <w:name w:val="正文文本样式"/>
    <w:basedOn w:val="844"/>
    <w:uiPriority w:val="0"/>
    <w:qFormat/>
    <w:pPr>
      <w:ind w:firstLine="482"/>
      <w:spacing w:line="360" w:lineRule="auto"/>
    </w:pPr>
    <w:rPr>
      <w:rFonts w:cs="宋体"/>
      <w:sz w:val="24"/>
      <w:szCs w:val="20"/>
    </w:rPr>
  </w:style>
  <w:style w:type="paragraph" w:styleId="994" w:customStyle="1">
    <w:name w:val="xl27"/>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95" w:customStyle="1">
    <w:name w:val="font5"/>
    <w:basedOn w:val="844"/>
    <w:uiPriority w:val="0"/>
    <w:qFormat/>
    <w:pPr>
      <w:jc w:val="left"/>
      <w:spacing w:before="100" w:beforeAutospacing="1" w:after="100" w:afterAutospacing="1"/>
      <w:widowControl/>
    </w:pPr>
    <w:rPr>
      <w:rFonts w:ascii="宋体" w:hAnsi="宋体" w:cs="宋体"/>
      <w:sz w:val="18"/>
      <w:szCs w:val="18"/>
    </w:rPr>
  </w:style>
  <w:style w:type="paragraph" w:styleId="996" w:customStyle="1">
    <w:name w:val="五级条标题"/>
    <w:basedOn w:val="987"/>
    <w:next w:val="844"/>
    <w:uiPriority w:val="0"/>
    <w:qFormat/>
    <w:pPr>
      <w:numPr>
        <w:ilvl w:val="5"/>
      </w:numPr>
      <w:ind w:left="0" w:hanging="840"/>
      <w:outlineLvl w:val="5"/>
    </w:pPr>
  </w:style>
  <w:style w:type="paragraph" w:styleId="997" w:customStyle="1">
    <w:name w:val="xl49"/>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998" w:customStyle="1">
    <w:name w:val="文档正文"/>
    <w:basedOn w:val="844"/>
    <w:uiPriority w:val="0"/>
    <w:qFormat/>
    <w:pPr>
      <w:spacing w:before="120" w:after="120" w:line="180" w:lineRule="auto"/>
    </w:pPr>
    <w:rPr>
      <w:rFonts w:ascii="Arial" w:hAnsi="Arial"/>
      <w:szCs w:val="20"/>
    </w:rPr>
  </w:style>
  <w:style w:type="paragraph" w:styleId="999" w:customStyle="1">
    <w:name w:val="xl33"/>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00" w:customStyle="1">
    <w:name w:val="xl42"/>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01" w:customStyle="1">
    <w:name w:val="Char Char Char1 Char"/>
    <w:basedOn w:val="844"/>
    <w:uiPriority w:val="0"/>
    <w:qFormat/>
    <w:rPr>
      <w:rFonts w:ascii="Tahoma" w:hAnsi="Tahoma"/>
      <w:sz w:val="24"/>
      <w:szCs w:val="20"/>
    </w:rPr>
  </w:style>
  <w:style w:type="paragraph" w:styleId="1002" w:customStyle="1">
    <w:name w:val="xl44"/>
    <w:basedOn w:val="8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03" w:customStyle="1">
    <w:name w:val="1名"/>
    <w:basedOn w:val="844"/>
    <w:uiPriority w:val="0"/>
    <w:qFormat/>
    <w:pPr>
      <w:numPr>
        <w:ilvl w:val="0"/>
        <w:numId w:val="5"/>
      </w:numPr>
      <w:spacing w:before="120"/>
    </w:pPr>
    <w:rPr>
      <w:rFonts w:ascii="宋体"/>
      <w:sz w:val="28"/>
      <w:szCs w:val="20"/>
    </w:rPr>
  </w:style>
  <w:style w:type="paragraph" w:styleId="1004" w:customStyle="1">
    <w:name w:val="font9"/>
    <w:basedOn w:val="84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05" w:customStyle="1">
    <w:name w:val="Char Char Char1 Char1"/>
    <w:basedOn w:val="844"/>
    <w:uiPriority w:val="0"/>
    <w:qFormat/>
    <w:rPr>
      <w:rFonts w:ascii="Tahoma" w:hAnsi="Tahoma"/>
      <w:sz w:val="24"/>
      <w:szCs w:val="20"/>
    </w:rPr>
  </w:style>
  <w:style w:type="paragraph" w:styleId="1006" w:customStyle="1">
    <w:name w:val="Char Char Char Char Char Char Char Char Char Char"/>
    <w:basedOn w:val="844"/>
    <w:uiPriority w:val="0"/>
    <w:qFormat/>
  </w:style>
  <w:style w:type="paragraph" w:styleId="1007" w:customStyle="1">
    <w:name w:val="Char Char1 Char Char Char Char Char Char Char Char"/>
    <w:basedOn w:val="844"/>
    <w:uiPriority w:val="0"/>
    <w:qFormat/>
    <w:pPr>
      <w:jc w:val="left"/>
      <w:spacing w:after="160" w:line="240" w:lineRule="exact"/>
      <w:widowControl/>
    </w:pPr>
    <w:rPr>
      <w:rFonts w:ascii="Verdana" w:hAnsi="Verdana"/>
      <w:sz w:val="20"/>
      <w:szCs w:val="20"/>
      <w:lang w:eastAsia="en-US"/>
    </w:rPr>
  </w:style>
  <w:style w:type="paragraph" w:styleId="1008" w:customStyle="1">
    <w:name w:val="Char1"/>
    <w:basedOn w:val="844"/>
    <w:uiPriority w:val="0"/>
    <w:qFormat/>
    <w:pPr>
      <w:tabs>
        <w:tab w:val="left" w:pos="360" w:leader="none"/>
      </w:tabs>
    </w:pPr>
    <w:rPr>
      <w:sz w:val="24"/>
    </w:rPr>
  </w:style>
  <w:style w:type="paragraph" w:styleId="1009" w:customStyle="1">
    <w:name w:val="正文列项_字母"/>
    <w:basedOn w:val="84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10" w:customStyle="1">
    <w:name w:val="xl28"/>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1" w:customStyle="1">
    <w:name w:val="xl47"/>
    <w:basedOn w:val="8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12" w:customStyle="1">
    <w:name w:val="默认段落字体 Para Char Char Char Char"/>
    <w:basedOn w:val="844"/>
    <w:uiPriority w:val="0"/>
    <w:qFormat/>
    <w:rPr>
      <w:rFonts w:ascii="Arial" w:hAnsi="Arial" w:cs="Arial"/>
      <w:szCs w:val="21"/>
    </w:rPr>
  </w:style>
  <w:style w:type="paragraph" w:styleId="1013" w:customStyle="1">
    <w:name w:val="xl48"/>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14" w:customStyle="1">
    <w:name w:val="xl31"/>
    <w:basedOn w:val="8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15" w:customStyle="1">
    <w:name w:val="xl5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16" w:customStyle="1">
    <w:name w:val="Char Char Char"/>
    <w:basedOn w:val="844"/>
    <w:uiPriority w:val="0"/>
    <w:qFormat/>
    <w:rPr>
      <w:rFonts w:ascii="Tahoma" w:hAnsi="Tahoma"/>
      <w:sz w:val="24"/>
      <w:szCs w:val="20"/>
    </w:rPr>
  </w:style>
  <w:style w:type="paragraph" w:styleId="1017" w:customStyle="1">
    <w:name w:val="xl50"/>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18" w:customStyle="1">
    <w:name w:val="缺省文本"/>
    <w:basedOn w:val="844"/>
    <w:uiPriority w:val="0"/>
    <w:qFormat/>
    <w:pPr>
      <w:jc w:val="left"/>
    </w:pPr>
    <w:rPr>
      <w:sz w:val="24"/>
    </w:rPr>
  </w:style>
  <w:style w:type="paragraph" w:styleId="1019" w:customStyle="1">
    <w:name w:val="Char Char Char1"/>
    <w:basedOn w:val="844"/>
    <w:uiPriority w:val="0"/>
    <w:qFormat/>
    <w:rPr>
      <w:rFonts w:ascii="Tahoma" w:hAnsi="Tahoma"/>
      <w:sz w:val="24"/>
      <w:szCs w:val="20"/>
    </w:rPr>
  </w:style>
  <w:style w:type="paragraph" w:styleId="1020" w:customStyle="1">
    <w:name w:val="Char Char Char Char Char Char Char1"/>
    <w:basedOn w:val="844"/>
    <w:uiPriority w:val="0"/>
    <w:qFormat/>
    <w:pPr>
      <w:ind w:firstLine="200"/>
      <w:spacing w:line="360" w:lineRule="auto"/>
    </w:pPr>
    <w:rPr>
      <w:rFonts w:eastAsia="仿宋_GB2312"/>
      <w:sz w:val="24"/>
    </w:rPr>
  </w:style>
  <w:style w:type="paragraph" w:styleId="1021" w:customStyle="1">
    <w:name w:val="xl51"/>
    <w:basedOn w:val="8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2" w:customStyle="1">
    <w:name w:val="样式2"/>
    <w:basedOn w:val="885"/>
    <w:uiPriority w:val="0"/>
    <w:qFormat/>
    <w:pPr>
      <w:jc w:val="center"/>
      <w:spacing w:line="360" w:lineRule="auto"/>
    </w:pPr>
    <w:rPr>
      <w:sz w:val="24"/>
    </w:rPr>
  </w:style>
  <w:style w:type="paragraph" w:styleId="1023" w:customStyle="1">
    <w:name w:val="xl24"/>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4" w:customStyle="1">
    <w:name w:val="xl2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25" w:customStyle="1">
    <w:name w:val="正文 + 楷体_GB2312"/>
    <w:basedOn w:val="844"/>
    <w:uiPriority w:val="0"/>
    <w:qFormat/>
    <w:pPr>
      <w:jc w:val="left"/>
      <w:widowControl/>
    </w:pPr>
    <w:rPr>
      <w:rFonts w:ascii="楷体_GB2312" w:eastAsia="楷体_GB2312" w:cs="Arial"/>
      <w:sz w:val="24"/>
    </w:rPr>
  </w:style>
  <w:style w:type="paragraph" w:styleId="1026" w:customStyle="1">
    <w:name w:val="xl34"/>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27" w:customStyle="1">
    <w:name w:val="1 Char Char Char Char"/>
    <w:basedOn w:val="844"/>
    <w:uiPriority w:val="0"/>
    <w:qFormat/>
    <w:rPr>
      <w:rFonts w:ascii="Tahoma" w:hAnsi="Tahoma"/>
      <w:sz w:val="24"/>
      <w:szCs w:val="20"/>
    </w:rPr>
  </w:style>
  <w:style w:type="paragraph" w:styleId="1028" w:customStyle="1">
    <w:name w:val="列出段落1"/>
    <w:basedOn w:val="844"/>
    <w:uiPriority w:val="0"/>
    <w:qFormat/>
    <w:pPr>
      <w:ind w:firstLine="420"/>
    </w:pPr>
    <w:rPr>
      <w:rFonts w:ascii="Calibri" w:hAnsi="Calibri"/>
      <w:szCs w:val="22"/>
    </w:rPr>
  </w:style>
  <w:style w:type="paragraph" w:styleId="1029" w:customStyle="1">
    <w:name w:val="default"/>
    <w:basedOn w:val="844"/>
    <w:uiPriority w:val="0"/>
    <w:qFormat/>
    <w:pPr>
      <w:jc w:val="left"/>
      <w:spacing w:before="100" w:beforeAutospacing="1" w:after="100" w:afterAutospacing="1"/>
      <w:widowControl/>
    </w:pPr>
    <w:rPr>
      <w:rFonts w:ascii="宋体" w:hAnsi="宋体" w:cs="宋体"/>
      <w:sz w:val="24"/>
    </w:rPr>
  </w:style>
  <w:style w:type="paragraph" w:styleId="1030" w:customStyle="1">
    <w:name w:val="字元 字元1"/>
    <w:basedOn w:val="844"/>
    <w:uiPriority w:val="0"/>
    <w:qFormat/>
    <w:rPr>
      <w:rFonts w:ascii="Tahoma" w:hAnsi="Tahoma"/>
      <w:sz w:val="24"/>
      <w:szCs w:val="20"/>
    </w:rPr>
  </w:style>
  <w:style w:type="paragraph" w:styleId="1031" w:customStyle="1">
    <w:name w:val="_Style 160"/>
    <w:uiPriority w:val="0"/>
    <w:qFormat/>
    <w:rPr>
      <w:rFonts w:ascii="Times New Roman" w:hAnsi="Times New Roman" w:eastAsia="宋体" w:cs="Times New Roman"/>
      <w:sz w:val="21"/>
      <w:szCs w:val="24"/>
      <w:lang w:val="en-US" w:eastAsia="zh-CN" w:bidi="ar-SA"/>
    </w:rPr>
  </w:style>
  <w:style w:type="paragraph" w:styleId="1032" w:customStyle="1">
    <w:name w:val="项目编号3"/>
    <w:basedOn w:val="993"/>
    <w:uiPriority w:val="0"/>
    <w:qFormat/>
    <w:pPr>
      <w:numPr>
        <w:ilvl w:val="0"/>
        <w:numId w:val="6"/>
      </w:numPr>
    </w:pPr>
  </w:style>
  <w:style w:type="paragraph" w:styleId="1033" w:customStyle="1">
    <w:name w:val="Char21"/>
    <w:basedOn w:val="844"/>
    <w:uiPriority w:val="0"/>
    <w:qFormat/>
    <w:rPr>
      <w:rFonts w:ascii="Tahoma" w:hAnsi="Tahoma"/>
      <w:sz w:val="24"/>
      <w:szCs w:val="20"/>
    </w:rPr>
  </w:style>
  <w:style w:type="paragraph" w:styleId="1034" w:customStyle="1">
    <w:name w:val="表格文字"/>
    <w:basedOn w:val="863"/>
    <w:uiPriority w:val="0"/>
    <w:qFormat/>
    <w:pPr>
      <w:ind w:firstLine="0"/>
      <w:spacing w:before="20" w:after="20" w:line="240" w:lineRule="auto"/>
    </w:pPr>
    <w:rPr>
      <w:rFonts w:ascii="Century Gothic" w:hAnsi="Century Gothic"/>
      <w:sz w:val="20"/>
      <w:szCs w:val="20"/>
    </w:rPr>
  </w:style>
  <w:style w:type="paragraph" w:styleId="1035" w:customStyle="1">
    <w:name w:val="Char Char Char Char Char Char Char Char Char Char1"/>
    <w:basedOn w:val="844"/>
    <w:uiPriority w:val="0"/>
    <w:qFormat/>
    <w:rPr>
      <w:rFonts w:ascii="宋体" w:hAnsi="宋体" w:cs="Courier New"/>
      <w:sz w:val="32"/>
      <w:szCs w:val="32"/>
    </w:rPr>
  </w:style>
  <w:style w:type="paragraph" w:styleId="1036" w:customStyle="1">
    <w:name w:val="正文文本样式 加粗"/>
    <w:basedOn w:val="993"/>
    <w:uiPriority w:val="0"/>
    <w:qFormat/>
    <w:rPr>
      <w:b/>
    </w:rPr>
  </w:style>
  <w:style w:type="paragraph" w:styleId="1037" w:customStyle="1">
    <w:name w:val="Char2 Char Char Char Char Char Char"/>
    <w:basedOn w:val="844"/>
    <w:uiPriority w:val="0"/>
    <w:qFormat/>
    <w:pPr>
      <w:jc w:val="center"/>
      <w:spacing w:line="400" w:lineRule="exact"/>
      <w:widowControl/>
    </w:pPr>
  </w:style>
  <w:style w:type="paragraph" w:styleId="1038" w:customStyle="1">
    <w:name w:val="Char Char4"/>
    <w:basedOn w:val="844"/>
    <w:uiPriority w:val="0"/>
    <w:qFormat/>
    <w:pPr>
      <w:jc w:val="center"/>
      <w:spacing w:line="400" w:lineRule="exact"/>
      <w:widowControl/>
    </w:pPr>
  </w:style>
  <w:style w:type="paragraph" w:styleId="1039" w:customStyle="1">
    <w:name w:val="Char3 Char Char Char1"/>
    <w:basedOn w:val="844"/>
    <w:uiPriority w:val="0"/>
    <w:qFormat/>
    <w:rPr>
      <w:rFonts w:ascii="Tahoma" w:hAnsi="Tahoma"/>
      <w:sz w:val="24"/>
      <w:szCs w:val="20"/>
    </w:rPr>
  </w:style>
  <w:style w:type="paragraph" w:styleId="104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41" w:customStyle="1">
    <w:name w:val="22222222222222"/>
    <w:basedOn w:val="844"/>
    <w:uiPriority w:val="0"/>
    <w:qFormat/>
    <w:pPr>
      <w:ind w:firstLine="480"/>
      <w:jc w:val="left"/>
      <w:spacing w:line="360" w:lineRule="auto"/>
      <w:widowControl/>
    </w:pPr>
    <w:rPr>
      <w:color w:val="ff0000"/>
      <w:sz w:val="24"/>
      <w:szCs w:val="20"/>
    </w:rPr>
  </w:style>
  <w:style w:type="character" w:styleId="1042" w:customStyle="1">
    <w:name w:val="中等深浅网格 1 - 强调文字颜色 2 Char"/>
    <w:link w:val="1043"/>
    <w:uiPriority w:val="0"/>
    <w:qFormat/>
    <w:rPr>
      <w:sz w:val="21"/>
      <w:szCs w:val="24"/>
      <w:lang w:val="zh-CN" w:eastAsia="zh-CN" w:bidi="ar-SA"/>
    </w:rPr>
  </w:style>
  <w:style w:type="paragraph" w:styleId="1043" w:customStyle="1">
    <w:name w:val="1"/>
    <w:link w:val="1042"/>
    <w:uiPriority w:val="0"/>
    <w:qFormat/>
    <w:rPr>
      <w:rFonts w:ascii="Times New Roman" w:hAnsi="Times New Roman" w:eastAsia="宋体" w:cs="Times New Roman"/>
      <w:sz w:val="21"/>
      <w:szCs w:val="24"/>
      <w:lang w:val="zh-CN" w:eastAsia="zh-CN" w:bidi="ar-SA"/>
    </w:rPr>
  </w:style>
  <w:style w:type="paragraph" w:styleId="1044" w:customStyle="1">
    <w:name w:val="图文"/>
    <w:basedOn w:val="844"/>
    <w:uiPriority w:val="0"/>
    <w:qFormat/>
    <w:pPr>
      <w:spacing w:after="50" w:line="360" w:lineRule="auto"/>
    </w:pPr>
    <w:rPr>
      <w:sz w:val="24"/>
    </w:rPr>
  </w:style>
  <w:style w:type="paragraph" w:styleId="1045" w:customStyle="1">
    <w:name w:val="xl23"/>
    <w:basedOn w:val="844"/>
    <w:uiPriority w:val="0"/>
    <w:qFormat/>
    <w:pPr>
      <w:spacing w:before="100" w:beforeAutospacing="1" w:after="100" w:afterAutospacing="1" w:line="360" w:lineRule="auto"/>
      <w:widowControl/>
    </w:pPr>
    <w:rPr>
      <w:sz w:val="24"/>
      <w:szCs w:val="20"/>
    </w:rPr>
  </w:style>
  <w:style w:type="paragraph" w:styleId="1046" w:customStyle="1">
    <w:name w:val="正文表格"/>
    <w:basedOn w:val="844"/>
    <w:link w:val="1047"/>
    <w:uiPriority w:val="0"/>
    <w:qFormat/>
    <w:pPr>
      <w:jc w:val="left"/>
    </w:pPr>
    <w:rPr>
      <w:rFonts w:ascii="宋体" w:hAnsi="宋体"/>
      <w:color w:val="000000"/>
      <w:szCs w:val="21"/>
    </w:rPr>
  </w:style>
  <w:style w:type="character" w:styleId="1047" w:customStyle="1">
    <w:name w:val="正文表格 Char"/>
    <w:link w:val="1046"/>
    <w:uiPriority w:val="0"/>
    <w:qFormat/>
    <w:rPr>
      <w:rFonts w:ascii="宋体" w:hAnsi="宋体"/>
      <w:color w:val="000000"/>
      <w:sz w:val="21"/>
      <w:szCs w:val="21"/>
    </w:rPr>
  </w:style>
  <w:style w:type="paragraph" w:styleId="1048" w:customStyle="1">
    <w:name w:val="正文重点"/>
    <w:basedOn w:val="844"/>
    <w:link w:val="1049"/>
    <w:uiPriority w:val="0"/>
    <w:qFormat/>
    <w:pPr>
      <w:ind w:firstLine="482"/>
      <w:jc w:val="left"/>
      <w:spacing w:line="360" w:lineRule="auto"/>
    </w:pPr>
    <w:rPr>
      <w:b/>
      <w:sz w:val="24"/>
      <w:szCs w:val="20"/>
    </w:rPr>
  </w:style>
  <w:style w:type="character" w:styleId="1049" w:customStyle="1">
    <w:name w:val="正文重点 Char"/>
    <w:link w:val="1048"/>
    <w:uiPriority w:val="0"/>
    <w:qFormat/>
    <w:rPr>
      <w:b/>
      <w:sz w:val="24"/>
    </w:rPr>
  </w:style>
  <w:style w:type="paragraph" w:styleId="1050" w:customStyle="1">
    <w:name w:val="标题1-附件"/>
    <w:basedOn w:val="845"/>
    <w:uiPriority w:val="0"/>
    <w:qFormat/>
    <w:pPr>
      <w:jc w:val="left"/>
    </w:pPr>
    <w:rPr>
      <w:sz w:val="24"/>
      <w:szCs w:val="24"/>
    </w:rPr>
  </w:style>
  <w:style w:type="paragraph" w:styleId="1051" w:customStyle="1">
    <w:name w:val="正文小标题"/>
    <w:basedOn w:val="844"/>
    <w:next w:val="856"/>
    <w:link w:val="1052"/>
    <w:uiPriority w:val="0"/>
    <w:qFormat/>
    <w:pPr>
      <w:ind w:firstLine="482"/>
      <w:jc w:val="left"/>
      <w:spacing w:before="312" w:after="312"/>
    </w:pPr>
    <w:rPr>
      <w:rFonts w:ascii="宋体" w:hAnsi="宋体"/>
      <w:b/>
      <w:i/>
      <w:color w:val="ff0000"/>
      <w:sz w:val="24"/>
      <w:szCs w:val="20"/>
    </w:rPr>
  </w:style>
  <w:style w:type="character" w:styleId="1052" w:customStyle="1">
    <w:name w:val="正文小标题 Char"/>
    <w:link w:val="1051"/>
    <w:uiPriority w:val="0"/>
    <w:qFormat/>
    <w:rPr>
      <w:rFonts w:ascii="宋体" w:hAnsi="宋体"/>
      <w:b/>
      <w:i/>
      <w:color w:val="ff0000"/>
      <w:sz w:val="24"/>
    </w:rPr>
  </w:style>
  <w:style w:type="paragraph" w:styleId="1053" w:customStyle="1">
    <w:name w:val="正文大标题"/>
    <w:basedOn w:val="1051"/>
    <w:next w:val="856"/>
    <w:link w:val="1054"/>
    <w:uiPriority w:val="0"/>
    <w:qFormat/>
    <w:pPr>
      <w:jc w:val="center"/>
    </w:pPr>
    <w:rPr>
      <w:i w:val="0"/>
      <w:color w:val="000000"/>
      <w:sz w:val="28"/>
      <w:szCs w:val="21"/>
    </w:rPr>
  </w:style>
  <w:style w:type="character" w:styleId="1054" w:customStyle="1">
    <w:name w:val="正文大标题 Char"/>
    <w:link w:val="1053"/>
    <w:uiPriority w:val="0"/>
    <w:qFormat/>
    <w:rPr>
      <w:rFonts w:ascii="宋体" w:hAnsi="宋体"/>
      <w:b/>
      <w:color w:val="000000"/>
      <w:sz w:val="28"/>
      <w:szCs w:val="21"/>
    </w:rPr>
  </w:style>
  <w:style w:type="paragraph" w:styleId="1055" w:customStyle="1">
    <w:name w:val="注释"/>
    <w:basedOn w:val="844"/>
    <w:link w:val="1056"/>
    <w:uiPriority w:val="0"/>
    <w:qFormat/>
    <w:pPr>
      <w:ind w:left="420" w:hanging="420"/>
      <w:jc w:val="left"/>
    </w:pPr>
    <w:rPr>
      <w:rFonts w:ascii="宋体" w:hAnsi="宋体"/>
      <w:szCs w:val="21"/>
    </w:rPr>
  </w:style>
  <w:style w:type="character" w:styleId="1056" w:customStyle="1">
    <w:name w:val="注释 Char"/>
    <w:link w:val="1055"/>
    <w:uiPriority w:val="0"/>
    <w:qFormat/>
    <w:rPr>
      <w:rFonts w:ascii="宋体" w:hAnsi="宋体"/>
      <w:sz w:val="21"/>
      <w:szCs w:val="21"/>
    </w:rPr>
  </w:style>
  <w:style w:type="paragraph" w:styleId="1057" w:customStyle="1">
    <w:name w:val="正文须知-1级"/>
    <w:basedOn w:val="844"/>
    <w:next w:val="844"/>
    <w:uiPriority w:val="0"/>
    <w:qFormat/>
    <w:pPr>
      <w:numPr>
        <w:ilvl w:val="0"/>
        <w:numId w:val="7"/>
      </w:numPr>
      <w:spacing w:line="300" w:lineRule="auto"/>
    </w:pPr>
    <w:rPr>
      <w:rFonts w:ascii="宋体" w:hAnsi="Calibri"/>
      <w:sz w:val="24"/>
      <w:szCs w:val="21"/>
    </w:rPr>
  </w:style>
  <w:style w:type="paragraph" w:styleId="1058" w:customStyle="1">
    <w:name w:val="正文须知-2级"/>
    <w:basedOn w:val="844"/>
    <w:uiPriority w:val="0"/>
    <w:qFormat/>
    <w:pPr>
      <w:numPr>
        <w:ilvl w:val="1"/>
        <w:numId w:val="7"/>
      </w:numPr>
      <w:spacing w:line="300" w:lineRule="auto"/>
    </w:pPr>
    <w:rPr>
      <w:rFonts w:ascii="宋体" w:hAnsi="Calibri"/>
      <w:sz w:val="24"/>
      <w:szCs w:val="21"/>
    </w:rPr>
  </w:style>
  <w:style w:type="paragraph" w:styleId="1059" w:customStyle="1">
    <w:name w:val="正文须知-3级"/>
    <w:basedOn w:val="844"/>
    <w:uiPriority w:val="0"/>
    <w:qFormat/>
    <w:pPr>
      <w:numPr>
        <w:ilvl w:val="2"/>
        <w:numId w:val="7"/>
      </w:numPr>
      <w:ind w:hanging="355"/>
      <w:spacing w:line="300" w:lineRule="auto"/>
    </w:pPr>
    <w:rPr>
      <w:rFonts w:ascii="宋体" w:hAnsi="Calibri"/>
      <w:sz w:val="24"/>
      <w:szCs w:val="21"/>
    </w:rPr>
  </w:style>
  <w:style w:type="character" w:styleId="1060" w:customStyle="1">
    <w:name w:val="纯文本 字符"/>
    <w:uiPriority w:val="99"/>
    <w:qFormat/>
    <w:rPr>
      <w:rFonts w:ascii="宋体" w:hAnsi="Courier New" w:eastAsia="宋体" w:cs="Times New Roman"/>
      <w:sz w:val="21"/>
      <w:szCs w:val="21"/>
      <w:lang w:val="en-US" w:eastAsia="zh-CN" w:bidi="ar-SA"/>
    </w:rPr>
  </w:style>
  <w:style w:type="paragraph" w:styleId="1061" w:customStyle="1">
    <w:name w:val="表格1"/>
    <w:basedOn w:val="844"/>
    <w:uiPriority w:val="0"/>
    <w:qFormat/>
    <w:pPr>
      <w:ind w:firstLine="480"/>
      <w:jc w:val="center"/>
    </w:pPr>
    <w:rPr>
      <w:sz w:val="24"/>
      <w:szCs w:val="20"/>
    </w:rPr>
  </w:style>
  <w:style w:type="character" w:styleId="1062" w:customStyle="1">
    <w:name w:val="纯文本 字符1"/>
    <w:uiPriority w:val="0"/>
    <w:qFormat/>
    <w:rPr>
      <w:rFonts w:ascii="宋体" w:hAnsi="Courier New"/>
    </w:rPr>
  </w:style>
  <w:style w:type="character" w:styleId="1063" w:customStyle="1">
    <w:name w:val="bjh-p"/>
    <w:uiPriority w:val="0"/>
    <w:qFormat/>
  </w:style>
  <w:style w:type="paragraph" w:styleId="1064" w:customStyle="1">
    <w:name w:val="无标题条"/>
    <w:next w:val="844"/>
    <w:uiPriority w:val="0"/>
    <w:qFormat/>
    <w:pPr>
      <w:jc w:val="both"/>
    </w:pPr>
    <w:rPr>
      <w:rFonts w:ascii="Times New Roman" w:hAnsi="Times New Roman" w:eastAsia="宋体" w:cs="Times New Roman"/>
      <w:sz w:val="21"/>
      <w:lang w:val="en-US" w:eastAsia="zh-CN" w:bidi="ar-SA"/>
    </w:rPr>
  </w:style>
  <w:style w:type="character" w:styleId="1065" w:customStyle="1">
    <w:name w:val="正文格式 Char"/>
    <w:link w:val="1066"/>
    <w:uiPriority w:val="0"/>
    <w:qFormat/>
    <w:rPr>
      <w:rFonts w:ascii="宋体" w:hAnsi="宋体"/>
      <w:sz w:val="24"/>
      <w:szCs w:val="24"/>
      <w:lang w:val="en-GB"/>
    </w:rPr>
  </w:style>
  <w:style w:type="paragraph" w:styleId="1066" w:customStyle="1">
    <w:name w:val="正文格式"/>
    <w:basedOn w:val="844"/>
    <w:link w:val="1065"/>
    <w:uiPriority w:val="0"/>
    <w:qFormat/>
    <w:pPr>
      <w:ind w:firstLine="480"/>
      <w:spacing w:line="360" w:lineRule="auto"/>
    </w:pPr>
    <w:rPr>
      <w:rFonts w:ascii="宋体" w:hAnsi="宋体"/>
      <w:sz w:val="24"/>
      <w:lang w:val="en-GB"/>
    </w:rPr>
  </w:style>
  <w:style w:type="character" w:styleId="1067" w:customStyle="1">
    <w:name w:val="标题 3 Char"/>
    <w:uiPriority w:val="0"/>
    <w:qFormat/>
    <w:rPr>
      <w:rFonts w:ascii="宋体" w:eastAsia="宋体"/>
      <w:b/>
      <w:sz w:val="24"/>
      <w:u w:val="single"/>
      <w:lang w:val="en-US" w:eastAsia="zh-CN" w:bidi="ar-SA"/>
    </w:rPr>
  </w:style>
  <w:style w:type="character" w:styleId="1068" w:customStyle="1">
    <w:name w:val="正文缩进 Char"/>
    <w:uiPriority w:val="0"/>
    <w:qFormat/>
    <w:rPr>
      <w:rFonts w:ascii="宋体" w:eastAsia="宋体"/>
      <w:sz w:val="24"/>
      <w:szCs w:val="24"/>
      <w:lang w:val="en-US" w:eastAsia="zh-CN" w:bidi="ar-SA"/>
    </w:rPr>
  </w:style>
  <w:style w:type="character" w:styleId="1069" w:customStyle="1">
    <w:name w:val="Char Char111"/>
    <w:uiPriority w:val="0"/>
    <w:qFormat/>
    <w:rPr>
      <w:rFonts w:ascii="宋体" w:eastAsia="宋体"/>
      <w:b/>
      <w:sz w:val="24"/>
      <w:u w:val="single"/>
      <w:lang w:val="en-US" w:eastAsia="zh-CN" w:bidi="ar-SA"/>
    </w:rPr>
  </w:style>
  <w:style w:type="character" w:styleId="1070" w:customStyle="1">
    <w:name w:val="正文文本缩进 Char"/>
    <w:uiPriority w:val="0"/>
    <w:qFormat/>
    <w:rPr>
      <w:rFonts w:eastAsia="宋体"/>
      <w:sz w:val="24"/>
      <w:szCs w:val="24"/>
      <w:lang w:val="en-US" w:eastAsia="zh-CN" w:bidi="ar-SA"/>
    </w:rPr>
  </w:style>
  <w:style w:type="character" w:styleId="1071" w:customStyle="1">
    <w:name w:val="列出段落 Char"/>
    <w:uiPriority w:val="0"/>
    <w:qFormat/>
    <w:rPr>
      <w:rFonts w:ascii="Calibri" w:hAnsi="Calibri" w:eastAsia="宋体"/>
      <w:sz w:val="21"/>
      <w:szCs w:val="22"/>
      <w:lang w:val="en-US" w:eastAsia="zh-CN" w:bidi="ar-SA"/>
    </w:rPr>
  </w:style>
  <w:style w:type="character" w:styleId="1072" w:customStyle="1">
    <w:name w:val="页眉 Char"/>
    <w:uiPriority w:val="0"/>
    <w:qFormat/>
    <w:rPr>
      <w:rFonts w:eastAsia="宋体"/>
      <w:sz w:val="18"/>
      <w:szCs w:val="18"/>
      <w:lang w:val="en-US" w:eastAsia="zh-CN" w:bidi="ar-SA"/>
    </w:rPr>
  </w:style>
  <w:style w:type="character" w:styleId="1073" w:customStyle="1">
    <w:name w:val="标题 2 Char"/>
    <w:uiPriority w:val="0"/>
    <w:qFormat/>
    <w:rPr>
      <w:rFonts w:ascii="Arial" w:hAnsi="Arial" w:eastAsia="黑体"/>
      <w:b/>
      <w:sz w:val="30"/>
      <w:lang w:val="en-US" w:eastAsia="zh-CN" w:bidi="ar-SA"/>
    </w:rPr>
  </w:style>
  <w:style w:type="paragraph" w:styleId="1074" w:customStyle="1">
    <w:name w:val="字元 字元2"/>
    <w:basedOn w:val="844"/>
    <w:uiPriority w:val="0"/>
    <w:qFormat/>
    <w:rPr>
      <w:rFonts w:ascii="Tahoma" w:hAnsi="Tahoma"/>
      <w:sz w:val="24"/>
      <w:szCs w:val="20"/>
    </w:rPr>
  </w:style>
  <w:style w:type="paragraph" w:styleId="1075" w:customStyle="1">
    <w:name w:val="Char3 Char Char Char2"/>
    <w:basedOn w:val="844"/>
    <w:uiPriority w:val="0"/>
    <w:qFormat/>
    <w:rPr>
      <w:rFonts w:ascii="Tahoma" w:hAnsi="Tahoma"/>
      <w:sz w:val="24"/>
      <w:szCs w:val="20"/>
    </w:rPr>
  </w:style>
  <w:style w:type="paragraph" w:styleId="1076" w:customStyle="1">
    <w:name w:val="正文文本缩进2"/>
    <w:basedOn w:val="844"/>
    <w:uiPriority w:val="0"/>
    <w:qFormat/>
    <w:pPr>
      <w:ind w:firstLine="480"/>
      <w:spacing w:line="480" w:lineRule="exact"/>
    </w:pPr>
    <w:rPr>
      <w:rFonts w:ascii="宋体" w:hAnsi="宋体"/>
      <w:sz w:val="24"/>
      <w:lang w:val="zh-CN" w:eastAsia="zh-CN"/>
    </w:rPr>
  </w:style>
  <w:style w:type="paragraph" w:styleId="1077" w:customStyle="1">
    <w:name w:val="Char3"/>
    <w:basedOn w:val="844"/>
    <w:uiPriority w:val="0"/>
    <w:qFormat/>
    <w:pPr>
      <w:tabs>
        <w:tab w:val="left" w:pos="360" w:leader="none"/>
      </w:tabs>
    </w:pPr>
    <w:rPr>
      <w:sz w:val="24"/>
    </w:rPr>
  </w:style>
  <w:style w:type="paragraph" w:styleId="1078" w:customStyle="1">
    <w:name w:val="Char Char Char Char Char Char Char Char Char Char Char Char Char Char Char Char1"/>
    <w:basedOn w:val="844"/>
    <w:uiPriority w:val="0"/>
    <w:qFormat/>
    <w:pPr>
      <w:jc w:val="center"/>
      <w:spacing w:after="160" w:line="240" w:lineRule="exact"/>
      <w:widowControl/>
    </w:pPr>
    <w:rPr>
      <w:rFonts w:ascii="宋体" w:hAnsi="宋体"/>
      <w:b/>
      <w:sz w:val="30"/>
      <w:szCs w:val="30"/>
      <w:lang w:eastAsia="en-US"/>
    </w:rPr>
  </w:style>
  <w:style w:type="paragraph" w:styleId="1079" w:customStyle="1">
    <w:name w:val="Char Char1 Char Char Char Char Char Char1"/>
    <w:basedOn w:val="844"/>
    <w:uiPriority w:val="0"/>
    <w:qFormat/>
    <w:pPr>
      <w:jc w:val="left"/>
      <w:spacing w:after="160" w:line="240" w:lineRule="exact"/>
      <w:widowControl/>
    </w:pPr>
    <w:rPr>
      <w:rFonts w:ascii="Verdana" w:hAnsi="Verdana" w:eastAsia="仿宋_GB2312"/>
      <w:sz w:val="24"/>
      <w:szCs w:val="20"/>
      <w:lang w:eastAsia="en-US"/>
    </w:rPr>
  </w:style>
  <w:style w:type="paragraph" w:styleId="1080" w:customStyle="1">
    <w:name w:val="列出段落2"/>
    <w:basedOn w:val="844"/>
    <w:uiPriority w:val="0"/>
    <w:qFormat/>
    <w:pPr>
      <w:ind w:firstLine="420"/>
    </w:pPr>
    <w:rPr>
      <w:rFonts w:ascii="Calibri" w:hAnsi="Calibri"/>
      <w:szCs w:val="22"/>
    </w:rPr>
  </w:style>
  <w:style w:type="paragraph" w:styleId="1081" w:customStyle="1">
    <w:name w:val="Char Char Char1 Char2"/>
    <w:basedOn w:val="844"/>
    <w:uiPriority w:val="0"/>
    <w:qFormat/>
    <w:rPr>
      <w:rFonts w:ascii="Tahoma" w:hAnsi="Tahoma"/>
      <w:sz w:val="24"/>
      <w:szCs w:val="20"/>
    </w:rPr>
  </w:style>
  <w:style w:type="paragraph" w:styleId="1082" w:customStyle="1">
    <w:name w:val="Char Char Char2"/>
    <w:basedOn w:val="844"/>
    <w:uiPriority w:val="0"/>
    <w:qFormat/>
    <w:rPr>
      <w:rFonts w:ascii="Tahoma" w:hAnsi="Tahoma"/>
      <w:sz w:val="24"/>
      <w:szCs w:val="20"/>
    </w:rPr>
  </w:style>
  <w:style w:type="paragraph" w:styleId="1083" w:customStyle="1">
    <w:name w:val="Char Char Char Char Char Char Char2"/>
    <w:basedOn w:val="844"/>
    <w:uiPriority w:val="0"/>
    <w:qFormat/>
    <w:pPr>
      <w:ind w:firstLine="200"/>
      <w:spacing w:line="360" w:lineRule="auto"/>
    </w:pPr>
    <w:rPr>
      <w:rFonts w:eastAsia="仿宋_GB2312"/>
      <w:sz w:val="24"/>
    </w:rPr>
  </w:style>
  <w:style w:type="paragraph" w:styleId="1084" w:customStyle="1">
    <w:name w:val="正文缩进2"/>
    <w:basedOn w:val="844"/>
    <w:uiPriority w:val="0"/>
    <w:qFormat/>
    <w:pPr>
      <w:ind w:firstLine="567"/>
      <w:spacing w:line="480" w:lineRule="exact"/>
      <w:widowControl/>
    </w:pPr>
    <w:rPr>
      <w:rFonts w:ascii="宋体"/>
      <w:color w:val="000000"/>
      <w:sz w:val="28"/>
      <w:szCs w:val="20"/>
      <w:lang w:val="zh-CN" w:eastAsia="zh-CN"/>
    </w:rPr>
  </w:style>
  <w:style w:type="paragraph" w:styleId="1085" w:customStyle="1">
    <w:name w:val="Revision"/>
    <w:uiPriority w:val="0"/>
    <w:qFormat/>
    <w:rPr>
      <w:rFonts w:ascii="Times New Roman" w:hAnsi="Times New Roman" w:eastAsia="宋体" w:cs="Times New Roman"/>
      <w:sz w:val="21"/>
      <w:szCs w:val="24"/>
      <w:lang w:val="en-US" w:eastAsia="zh-CN" w:bidi="ar-SA"/>
    </w:rPr>
  </w:style>
  <w:style w:type="paragraph" w:styleId="1086" w:customStyle="1">
    <w:name w:val="Char22"/>
    <w:basedOn w:val="844"/>
    <w:uiPriority w:val="0"/>
    <w:qFormat/>
    <w:rPr>
      <w:rFonts w:ascii="Tahoma" w:hAnsi="Tahoma"/>
      <w:sz w:val="24"/>
      <w:szCs w:val="20"/>
    </w:rPr>
  </w:style>
  <w:style w:type="paragraph" w:styleId="1087" w:customStyle="1">
    <w:name w:val="Char Char Char Char Char Char Char Char Char Char2"/>
    <w:basedOn w:val="844"/>
    <w:uiPriority w:val="0"/>
    <w:qFormat/>
    <w:rPr>
      <w:rFonts w:ascii="宋体" w:hAnsi="宋体" w:cs="Courier New"/>
      <w:sz w:val="32"/>
      <w:szCs w:val="32"/>
    </w:rPr>
  </w:style>
  <w:style w:type="paragraph" w:styleId="1088" w:customStyle="1">
    <w:name w:val="Char2 Char Char Char Char Char Char1"/>
    <w:basedOn w:val="844"/>
    <w:uiPriority w:val="0"/>
    <w:qFormat/>
    <w:pPr>
      <w:jc w:val="center"/>
      <w:spacing w:line="400" w:lineRule="exact"/>
      <w:widowControl/>
    </w:pPr>
  </w:style>
  <w:style w:type="character" w:styleId="1089" w:customStyle="1">
    <w:name w:val="页脚 Char"/>
    <w:uiPriority w:val="0"/>
    <w:qFormat/>
    <w:rPr>
      <w:rFonts w:ascii="宋体" w:eastAsia="宋体"/>
      <w:sz w:val="18"/>
      <w:lang w:val="en-US" w:eastAsia="zh-CN" w:bidi="ar-SA"/>
    </w:rPr>
  </w:style>
  <w:style w:type="paragraph" w:styleId="1090" w:customStyle="1">
    <w:name w:val="Char Char41"/>
    <w:basedOn w:val="844"/>
    <w:uiPriority w:val="0"/>
    <w:qFormat/>
    <w:pPr>
      <w:jc w:val="center"/>
      <w:spacing w:line="400" w:lineRule="exact"/>
      <w:widowControl/>
    </w:pPr>
  </w:style>
  <w:style w:type="character" w:styleId="1091" w:customStyle="1">
    <w:name w:val="批注文字 Char"/>
    <w:uiPriority w:val="99"/>
    <w:qFormat/>
    <w:rPr>
      <w:sz w:val="21"/>
      <w:szCs w:val="24"/>
    </w:rPr>
  </w:style>
  <w:style w:type="character" w:styleId="1092" w:customStyle="1">
    <w:name w:val="标题 Char"/>
    <w:uiPriority w:val="0"/>
    <w:qFormat/>
    <w:rPr>
      <w:b/>
      <w:sz w:val="32"/>
    </w:rPr>
  </w:style>
  <w:style w:type="paragraph" w:styleId="1093" w:customStyle="1">
    <w:name w:val="图例"/>
    <w:basedOn w:val="844"/>
    <w:uiPriority w:val="0"/>
    <w:qFormat/>
    <w:pPr>
      <w:jc w:val="center"/>
      <w:spacing w:before="120" w:after="120" w:line="360" w:lineRule="auto"/>
    </w:pPr>
    <w:rPr>
      <w:rFonts w:eastAsia="仿宋_GB2312"/>
      <w:b/>
      <w:sz w:val="24"/>
      <w:szCs w:val="20"/>
    </w:rPr>
  </w:style>
  <w:style w:type="table" w:styleId="1094" w:customStyle="1">
    <w:name w:val="Table Normal"/>
    <w:uiPriority w:val="2"/>
    <w:unhideWhenUsed/>
    <w:qFormat/>
    <w:pPr>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095" w:customStyle="1">
    <w:name w:val="Table Paragraph"/>
    <w:basedOn w:val="844"/>
    <w:uiPriority w:val="1"/>
    <w:qFormat/>
    <w:pPr>
      <w:jc w:val="left"/>
    </w:pPr>
    <w:rPr>
      <w:rFonts w:ascii="宋体" w:hAnsi="宋体" w:cs="宋体"/>
      <w:sz w:val="22"/>
      <w:szCs w:val="22"/>
      <w:lang w:eastAsia="en-US"/>
    </w:rPr>
  </w:style>
  <w:style w:type="paragraph" w:styleId="1096" w:customStyle="1">
    <w:name w:val="成文日期"/>
    <w:basedOn w:val="844"/>
    <w:link w:val="1097"/>
    <w:uiPriority w:val="0"/>
    <w:qFormat/>
    <w:pPr>
      <w:ind w:right="400" w:firstLine="200"/>
      <w:jc w:val="right"/>
      <w:spacing w:line="570" w:lineRule="exact"/>
    </w:pPr>
    <w:rPr>
      <w:rFonts w:ascii="仿宋_GB2312" w:eastAsia="仿宋_GB2312"/>
      <w:sz w:val="32"/>
      <w:szCs w:val="20"/>
    </w:rPr>
  </w:style>
  <w:style w:type="character" w:styleId="1097" w:customStyle="1">
    <w:name w:val="成文日期 Char"/>
    <w:link w:val="1096"/>
    <w:uiPriority w:val="0"/>
    <w:qFormat/>
    <w:rPr>
      <w:rFonts w:ascii="仿宋_GB2312" w:eastAsia="仿宋_GB2312"/>
      <w:sz w:val="32"/>
    </w:rPr>
  </w:style>
  <w:style w:type="paragraph" w:styleId="1098" w:customStyle="1">
    <w:name w:val="_Style 254"/>
    <w:uiPriority w:val="99"/>
    <w:unhideWhenUsed/>
    <w:qFormat/>
    <w:rPr>
      <w:rFonts w:ascii="Times New Roman" w:hAnsi="Times New Roman" w:eastAsia="宋体" w:cs="Times New Roman"/>
      <w:sz w:val="21"/>
      <w:szCs w:val="24"/>
      <w:lang w:val="en-US" w:eastAsia="zh-CN" w:bidi="ar-SA"/>
    </w:rPr>
  </w:style>
  <w:style w:type="paragraph" w:styleId="1099" w:customStyle="1">
    <w:name w:val="段"/>
    <w:basedOn w:val="844"/>
    <w:next w:val="844"/>
    <w:uiPriority w:val="0"/>
    <w:qFormat/>
    <w:pPr>
      <w:ind w:firstLine="200"/>
      <w:widowControl/>
    </w:pPr>
    <w:rPr>
      <w:rFonts w:hint="eastAsia" w:ascii="宋体"/>
    </w:rPr>
  </w:style>
  <w:style w:type="paragraph" w:styleId="1100" w:customStyle="1">
    <w:name w:val="Body text|1"/>
    <w:basedOn w:val="844"/>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101" w:customStyle="1">
    <w:name w:val="Other|1"/>
    <w:basedOn w:val="844"/>
    <w:uiPriority w:val="0"/>
    <w:qFormat/>
    <w:pPr>
      <w:jc w:val="center"/>
    </w:pPr>
    <w:rPr>
      <w:sz w:val="19"/>
      <w:szCs w:val="19"/>
      <w:lang w:val="zh-TW" w:eastAsia="zh-TW" w:bidi="zh-TW"/>
    </w:rPr>
  </w:style>
  <w:style w:type="paragraph" w:styleId="1102" w:customStyle="1">
    <w:name w:val="_Style 4"/>
    <w:basedOn w:val="844"/>
    <w:next w:val="944"/>
    <w:uiPriority w:val="34"/>
    <w:qFormat/>
    <w:pPr>
      <w:ind w:firstLine="420"/>
    </w:pPr>
    <w:rPr>
      <w:rFonts w:ascii="Calibri" w:hAnsi="Calibri"/>
      <w:szCs w:val="22"/>
    </w:rPr>
  </w:style>
  <w:style w:type="character" w:styleId="1103" w:customStyle="1">
    <w:name w:val="font01"/>
    <w:basedOn w:val="854"/>
    <w:uiPriority w:val="0"/>
    <w:qFormat/>
    <w:rPr>
      <w:rFonts w:hint="eastAsia" w:ascii="宋体" w:hAnsi="宋体" w:eastAsia="宋体" w:cs="宋体"/>
      <w:color w:val="000000"/>
      <w:sz w:val="24"/>
      <w:szCs w:val="24"/>
      <w:u w:val="none"/>
    </w:rPr>
  </w:style>
  <w:style w:type="paragraph" w:styleId="1104" w:customStyle="1">
    <w:name w:val="正文1"/>
    <w:basedOn w:val="844"/>
    <w:next w:val="844"/>
    <w:uiPriority w:val="0"/>
    <w:qFormat/>
    <w:pPr>
      <w:ind w:left="420" w:firstLine="527"/>
      <w:spacing w:before="120" w:line="360" w:lineRule="auto"/>
    </w:pPr>
    <w:rPr>
      <w:rFonts w:ascii="宋体" w:hAnsi="宋体" w:eastAsia="宋体"/>
      <w:sz w:val="21"/>
      <w:szCs w:val="24"/>
    </w:rPr>
  </w:style>
  <w:style w:type="paragraph" w:styleId="1105" w:customStyle="1">
    <w:name w:val="Table Text"/>
    <w:basedOn w:val="844"/>
    <w:uiPriority w:val="0"/>
    <w:semiHidden/>
    <w:qFormat/>
    <w:rPr>
      <w:rFonts w:ascii="仿宋" w:hAnsi="仿宋" w:eastAsia="仿宋" w:cs="仿宋"/>
      <w:sz w:val="19"/>
      <w:szCs w:val="19"/>
      <w:lang w:val="en-US" w:eastAsia="en-US" w:bidi="ar-SA"/>
    </w:rPr>
  </w:style>
  <w:style w:type="paragraph" w:styleId="1106" w:customStyle="1">
    <w:name w:val="null3"/>
    <w:uiPriority w:val="0"/>
    <w:qFormat/>
    <w:rPr>
      <w:rFonts w:hint="eastAsia" w:ascii="Calibri" w:hAnsi="Calibri" w:eastAsia="宋体" w:cs="Times New Roman"/>
      <w:lang w:val="en-US" w:eastAsia="zh-CN" w:bidi="ar-SA"/>
    </w:rPr>
  </w:style>
  <w:style w:type="paragraph" w:styleId="1107" w:customStyle="1">
    <w:name w:val="标题 31"/>
    <w:basedOn w:val="844"/>
    <w:next w:val="844"/>
    <w:uiPriority w:val="0"/>
    <w:qFormat/>
    <w:pPr>
      <w:jc w:val="left"/>
      <w:keepLines/>
      <w:keepNext/>
      <w:spacing w:before="360" w:after="120"/>
      <w:outlineLvl w:val="2"/>
    </w:pPr>
    <w:rPr>
      <w:rFonts w:ascii="宋体"/>
      <w:b/>
      <w:sz w:val="24"/>
      <w:szCs w:val="20"/>
      <w:u w:val="single"/>
    </w:rPr>
  </w:style>
  <w:style w:type="paragraph" w:styleId="1108" w:customStyle="1">
    <w:name w:val="正文缩进11"/>
    <w:basedOn w:val="844"/>
    <w:uiPriority w:val="0"/>
    <w:qFormat/>
    <w:pPr>
      <w:ind w:firstLine="420"/>
      <w:jc w:val="left"/>
    </w:pPr>
    <w:rPr>
      <w:rFonts w:ascii="宋体"/>
      <w:sz w:val="24"/>
    </w:rPr>
  </w:style>
  <w:style w:type="paragraph" w:styleId="1109" w:customStyle="1">
    <w:name w:val="正文文本1"/>
    <w:basedOn w:val="844"/>
    <w:uiPriority w:val="0"/>
    <w:qFormat/>
    <w:pPr>
      <w:spacing w:before="120" w:line="22" w:lineRule="atLeast"/>
      <w:tabs>
        <w:tab w:val="left" w:pos="567" w:leader="none"/>
      </w:tabs>
    </w:pPr>
    <w:rPr>
      <w:rFonts w:ascii="宋体" w:hAnsi="宋体"/>
      <w:sz w:val="24"/>
    </w:rPr>
  </w:style>
  <w:style w:type="paragraph" w:styleId="1110" w:customStyle="1">
    <w:name w:val="页脚1"/>
    <w:basedOn w:val="844"/>
    <w:uiPriority w:val="99"/>
    <w:qFormat/>
    <w:pPr>
      <w:jc w:val="left"/>
      <w:tabs>
        <w:tab w:val="center" w:pos="4153" w:leader="none"/>
        <w:tab w:val="right" w:pos="8306" w:leader="none"/>
      </w:tabs>
    </w:pPr>
    <w:rPr>
      <w:rFonts w:ascii="宋体"/>
      <w:sz w:val="18"/>
      <w:szCs w:val="20"/>
    </w:rPr>
  </w:style>
  <w:style w:type="paragraph" w:styleId="1111" w:customStyle="1">
    <w:name w:val="页眉1"/>
    <w:basedOn w:val="844"/>
    <w:uiPriority w:val="0"/>
    <w:qFormat/>
    <w:pPr>
      <w:jc w:val="center"/>
      <w:tabs>
        <w:tab w:val="center" w:pos="4153" w:leader="none"/>
        <w:tab w:val="right" w:pos="8306" w:leader="none"/>
      </w:tabs>
      <w:pBdr>
        <w:bottom w:val="single" w:color="000000" w:sz="6" w:space="1"/>
      </w:pBdr>
    </w:pPr>
    <w:rPr>
      <w:sz w:val="18"/>
      <w:szCs w:val="18"/>
    </w:rPr>
  </w:style>
  <w:style w:type="numbering" w:styleId="195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姜珏琳</cp:lastModifiedBy>
  <cp:revision>3</cp:revision>
  <dcterms:created xsi:type="dcterms:W3CDTF">2022-05-30T08:08:00Z</dcterms:created>
  <dcterms:modified xsi:type="dcterms:W3CDTF">2026-01-04T07:48:36Z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2B20E2D0CAD7472A82437FD7155252B7_13</vt:lpwstr>
  </property>
  <property fmtid="{D5CDD505-2E9C-101B-9397-08002B2CF9AE}" pid="4" name="KSOTemplateDocerSaveRecord">
    <vt:lpwstr>eyJoZGlkIjoiMTJlNDI1OTllNzMyMzM2ZDVhYTM2YzJlMDIyMjUyOTQiLCJ1c2VySWQiOiI1MDQ3NTQxODkifQ==</vt:lpwstr>
  </property>
</Properties>
</file>